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0" w:type="auto"/>
        <w:tblInd w:w="3510" w:type="dxa"/>
        <w:tblLook w:val="04A0"/>
      </w:tblPr>
      <w:tblGrid>
        <w:gridCol w:w="5184"/>
      </w:tblGrid>
      <w:tr w:rsidR="00D42939" w:rsidRPr="00837EE4" w:rsidTr="001577FB">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D42939" w:rsidRPr="00837EE4" w:rsidRDefault="00D42939" w:rsidP="001577FB">
            <w:pPr>
              <w:ind w:left="-108"/>
              <w:rPr>
                <w:rFonts w:ascii="Arial" w:hAnsi="Arial" w:cs="Arial"/>
                <w:color w:val="595959" w:themeColor="text1" w:themeTint="A6"/>
                <w:lang w:val="es-MX"/>
              </w:rPr>
            </w:pPr>
            <w:r w:rsidRPr="00837EE4">
              <w:rPr>
                <w:rFonts w:ascii="Arial" w:hAnsi="Arial" w:cs="Arial"/>
                <w:b/>
                <w:color w:val="595959" w:themeColor="text1" w:themeTint="A6"/>
                <w:lang w:val="es-MX"/>
              </w:rPr>
              <w:t xml:space="preserve">|RECURSO DE REVISIÓN: </w:t>
            </w:r>
            <w:r w:rsidRPr="00837EE4">
              <w:rPr>
                <w:rFonts w:ascii="Arial" w:hAnsi="Arial" w:cs="Arial"/>
                <w:color w:val="595959" w:themeColor="text1" w:themeTint="A6"/>
                <w:lang w:val="es-MX"/>
              </w:rPr>
              <w:t>RR-522/2017-3</w:t>
            </w:r>
          </w:p>
        </w:tc>
      </w:tr>
      <w:tr w:rsidR="00D42939" w:rsidRPr="00837EE4" w:rsidTr="001577FB">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D42939" w:rsidRPr="00837EE4" w:rsidRDefault="00D42939" w:rsidP="001577FB">
            <w:pPr>
              <w:ind w:left="-108"/>
              <w:rPr>
                <w:rFonts w:ascii="Arial" w:hAnsi="Arial" w:cs="Arial"/>
                <w:color w:val="595959" w:themeColor="text1" w:themeTint="A6"/>
                <w:lang w:val="es-MX"/>
              </w:rPr>
            </w:pPr>
            <w:r w:rsidRPr="00837EE4">
              <w:rPr>
                <w:rFonts w:ascii="Arial" w:hAnsi="Arial" w:cs="Arial"/>
                <w:b/>
                <w:color w:val="595959" w:themeColor="text1" w:themeTint="A6"/>
                <w:lang w:val="es-MX"/>
              </w:rPr>
              <w:t>ENTE OBLIGADO:</w:t>
            </w:r>
            <w:r w:rsidRPr="00837EE4">
              <w:rPr>
                <w:rFonts w:ascii="Arial" w:hAnsi="Arial" w:cs="Arial"/>
                <w:color w:val="595959" w:themeColor="text1" w:themeTint="A6"/>
                <w:lang w:val="es-MX"/>
              </w:rPr>
              <w:t xml:space="preserve"> PROCURADURÍA GENERAL DE JUSTICIA EN EL ESTADO</w:t>
            </w:r>
          </w:p>
        </w:tc>
      </w:tr>
      <w:tr w:rsidR="00D42939" w:rsidRPr="00837EE4" w:rsidTr="001577FB">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D42939" w:rsidRPr="00837EE4" w:rsidRDefault="00D42939" w:rsidP="001577FB">
            <w:pPr>
              <w:ind w:left="-108"/>
              <w:rPr>
                <w:rFonts w:ascii="Arial" w:hAnsi="Arial" w:cs="Arial"/>
                <w:color w:val="595959" w:themeColor="text1" w:themeTint="A6"/>
                <w:lang w:val="es-MX"/>
              </w:rPr>
            </w:pPr>
            <w:r w:rsidRPr="00837EE4">
              <w:rPr>
                <w:rFonts w:ascii="Arial" w:hAnsi="Arial" w:cs="Arial"/>
                <w:b/>
                <w:color w:val="595959" w:themeColor="text1" w:themeTint="A6"/>
                <w:lang w:val="es-MX"/>
              </w:rPr>
              <w:t xml:space="preserve">COMISIONADO PONENTE: </w:t>
            </w:r>
            <w:r w:rsidRPr="00837EE4">
              <w:rPr>
                <w:rFonts w:ascii="Arial" w:hAnsi="Arial" w:cs="Arial"/>
                <w:color w:val="595959" w:themeColor="text1" w:themeTint="A6"/>
                <w:lang w:val="es-MX"/>
              </w:rPr>
              <w:t>CLAUDIA ELIZABETH ÁVALOS CEDILLO</w:t>
            </w:r>
          </w:p>
        </w:tc>
      </w:tr>
    </w:tbl>
    <w:p w:rsidR="00D42939" w:rsidRPr="00837EE4" w:rsidRDefault="00D42939" w:rsidP="00D42939">
      <w:pPr>
        <w:jc w:val="right"/>
        <w:rPr>
          <w:rFonts w:ascii="Arial" w:hAnsi="Arial" w:cs="Arial"/>
          <w:b/>
          <w:color w:val="595959" w:themeColor="text1" w:themeTint="A6"/>
          <w:lang w:val="es-MX"/>
        </w:rPr>
      </w:pPr>
    </w:p>
    <w:p w:rsidR="00D42939" w:rsidRPr="00837EE4" w:rsidRDefault="00D42939" w:rsidP="00D42939">
      <w:pPr>
        <w:pStyle w:val="Textoindependienteprimerasangra"/>
        <w:spacing w:after="0"/>
        <w:ind w:firstLine="0"/>
        <w:rPr>
          <w:rFonts w:ascii="Arial" w:eastAsia="Arial Unicode MS" w:hAnsi="Arial" w:cs="Arial"/>
          <w:color w:val="595959" w:themeColor="text1" w:themeTint="A6"/>
          <w:szCs w:val="26"/>
          <w:lang w:val="es-MX"/>
        </w:rPr>
      </w:pPr>
      <w:r w:rsidRPr="00837EE4">
        <w:rPr>
          <w:rFonts w:ascii="Arial" w:hAnsi="Arial" w:cs="Arial"/>
          <w:b/>
          <w:color w:val="595959" w:themeColor="text1" w:themeTint="A6"/>
          <w:lang w:val="es-MX"/>
        </w:rPr>
        <w:tab/>
      </w:r>
      <w:r w:rsidRPr="00837EE4">
        <w:rPr>
          <w:rFonts w:ascii="Arial" w:eastAsia="Arial Unicode MS" w:hAnsi="Arial" w:cs="Arial"/>
          <w:color w:val="595959" w:themeColor="text1" w:themeTint="A6"/>
          <w:szCs w:val="26"/>
          <w:lang w:val="es-MX"/>
        </w:rPr>
        <w:t>San Luis Potosí, San Luis Potosí, siete de noviembre de dos mil diecisiete.</w:t>
      </w:r>
    </w:p>
    <w:p w:rsidR="00D42939" w:rsidRPr="00837EE4" w:rsidRDefault="00D42939" w:rsidP="00D42939">
      <w:pPr>
        <w:pStyle w:val="Textoindependienteprimerasangra"/>
        <w:spacing w:before="240" w:after="0"/>
        <w:ind w:firstLine="0"/>
        <w:rPr>
          <w:rFonts w:ascii="Arial" w:eastAsia="Arial Unicode MS" w:hAnsi="Arial" w:cs="Arial"/>
          <w:color w:val="595959" w:themeColor="text1" w:themeTint="A6"/>
          <w:szCs w:val="26"/>
          <w:lang w:val="es-MX"/>
        </w:rPr>
      </w:pPr>
      <w:r w:rsidRPr="00837EE4">
        <w:rPr>
          <w:rFonts w:ascii="Arial" w:eastAsia="Arial Unicode MS" w:hAnsi="Arial" w:cs="Arial"/>
          <w:color w:val="595959" w:themeColor="text1" w:themeTint="A6"/>
          <w:szCs w:val="26"/>
          <w:lang w:val="es-MX"/>
        </w:rPr>
        <w:tab/>
      </w:r>
      <w:r w:rsidRPr="00837EE4">
        <w:rPr>
          <w:rFonts w:ascii="Arial" w:eastAsia="Arial Unicode MS" w:hAnsi="Arial" w:cs="Arial"/>
          <w:b/>
          <w:color w:val="595959" w:themeColor="text1" w:themeTint="A6"/>
          <w:szCs w:val="26"/>
          <w:lang w:val="es-MX"/>
        </w:rPr>
        <w:t>VISTOS</w:t>
      </w:r>
      <w:r w:rsidRPr="00837EE4">
        <w:rPr>
          <w:rFonts w:ascii="Arial" w:eastAsia="Arial Unicode MS" w:hAnsi="Arial" w:cs="Arial"/>
          <w:color w:val="595959" w:themeColor="text1" w:themeTint="A6"/>
          <w:szCs w:val="26"/>
          <w:lang w:val="es-MX"/>
        </w:rPr>
        <w:t xml:space="preserve"> para resolver los autos que conforman el expediente </w:t>
      </w:r>
      <w:r>
        <w:rPr>
          <w:rFonts w:ascii="Arial" w:hAnsi="Arial" w:cs="Arial"/>
          <w:b/>
          <w:color w:val="595959" w:themeColor="text1" w:themeTint="A6"/>
          <w:lang w:val="es-MX"/>
        </w:rPr>
        <w:t>522</w:t>
      </w:r>
      <w:r w:rsidRPr="00837EE4">
        <w:rPr>
          <w:rFonts w:ascii="Arial" w:hAnsi="Arial" w:cs="Arial"/>
          <w:b/>
          <w:color w:val="595959" w:themeColor="text1" w:themeTint="A6"/>
          <w:lang w:val="es-MX"/>
        </w:rPr>
        <w:t xml:space="preserve">/2017-3 </w:t>
      </w:r>
      <w:r w:rsidRPr="00837EE4">
        <w:rPr>
          <w:rFonts w:ascii="Arial" w:eastAsia="Arial Unicode MS" w:hAnsi="Arial" w:cs="Arial"/>
          <w:color w:val="595959" w:themeColor="text1" w:themeTint="A6"/>
          <w:szCs w:val="26"/>
          <w:lang w:val="es-MX"/>
        </w:rPr>
        <w:t xml:space="preserve">del índice de esta comisión, relativo al </w:t>
      </w:r>
      <w:r w:rsidRPr="00837EE4">
        <w:rPr>
          <w:rFonts w:ascii="Arial" w:eastAsia="Arial Unicode MS" w:hAnsi="Arial" w:cs="Arial"/>
          <w:b/>
          <w:color w:val="595959" w:themeColor="text1" w:themeTint="A6"/>
          <w:szCs w:val="26"/>
          <w:lang w:val="es-MX"/>
        </w:rPr>
        <w:t>recurso de revisión</w:t>
      </w:r>
      <w:r w:rsidRPr="00837EE4">
        <w:rPr>
          <w:rFonts w:ascii="Arial" w:eastAsia="Arial Unicode MS" w:hAnsi="Arial" w:cs="Arial"/>
          <w:color w:val="595959" w:themeColor="text1" w:themeTint="A6"/>
          <w:szCs w:val="26"/>
          <w:lang w:val="es-MX"/>
        </w:rPr>
        <w:t xml:space="preserve">, interpuesto contra la respuesta emitida por la </w:t>
      </w:r>
      <w:r w:rsidRPr="00837EE4">
        <w:rPr>
          <w:rFonts w:ascii="Arial" w:hAnsi="Arial" w:cs="Arial"/>
          <w:b/>
          <w:color w:val="595959" w:themeColor="text1" w:themeTint="A6"/>
          <w:lang w:val="es-MX"/>
        </w:rPr>
        <w:t>PROCURADURÍA GENERAL DE JUSTICIA EN EL ESTADO</w:t>
      </w:r>
      <w:r w:rsidRPr="00837EE4">
        <w:rPr>
          <w:rFonts w:ascii="Arial" w:eastAsia="Arial Unicode MS" w:hAnsi="Arial" w:cs="Arial"/>
          <w:b/>
          <w:color w:val="595959" w:themeColor="text1" w:themeTint="A6"/>
          <w:szCs w:val="26"/>
          <w:lang w:val="es-MX"/>
        </w:rPr>
        <w:t xml:space="preserve">, </w:t>
      </w:r>
      <w:r w:rsidRPr="00837EE4">
        <w:rPr>
          <w:rFonts w:ascii="Arial" w:eastAsia="Arial Unicode MS" w:hAnsi="Arial" w:cs="Arial"/>
          <w:color w:val="595959" w:themeColor="text1" w:themeTint="A6"/>
          <w:szCs w:val="26"/>
          <w:lang w:val="es-MX"/>
        </w:rPr>
        <w:t>y</w:t>
      </w:r>
    </w:p>
    <w:p w:rsidR="00D42939" w:rsidRPr="00837EE4" w:rsidRDefault="00D42939" w:rsidP="00D42939">
      <w:pPr>
        <w:pStyle w:val="Textoindependienteprimerasangra"/>
        <w:spacing w:before="240"/>
        <w:ind w:firstLine="900"/>
        <w:jc w:val="center"/>
        <w:rPr>
          <w:rFonts w:ascii="Arial" w:eastAsia="Arial Unicode MS" w:hAnsi="Arial" w:cs="Arial"/>
          <w:b/>
          <w:color w:val="595959" w:themeColor="text1" w:themeTint="A6"/>
          <w:szCs w:val="26"/>
          <w:lang w:val="es-MX"/>
        </w:rPr>
      </w:pPr>
      <w:r w:rsidRPr="00837EE4">
        <w:rPr>
          <w:rFonts w:ascii="Arial" w:eastAsia="Arial Unicode MS" w:hAnsi="Arial" w:cs="Arial"/>
          <w:b/>
          <w:color w:val="595959" w:themeColor="text1" w:themeTint="A6"/>
          <w:szCs w:val="26"/>
          <w:lang w:val="es-MX"/>
        </w:rPr>
        <w:t>A N T E C E D E N T E S:</w:t>
      </w:r>
    </w:p>
    <w:p w:rsidR="00D42939" w:rsidRPr="00837EE4" w:rsidRDefault="00D42939" w:rsidP="00D42939">
      <w:pPr>
        <w:pStyle w:val="Textoindependienteprimerasangra"/>
        <w:spacing w:before="240"/>
        <w:ind w:firstLine="0"/>
        <w:rPr>
          <w:rFonts w:ascii="Arial" w:eastAsia="Arial Unicode MS" w:hAnsi="Arial" w:cs="Arial"/>
          <w:b/>
          <w:color w:val="595959" w:themeColor="text1" w:themeTint="A6"/>
          <w:szCs w:val="26"/>
          <w:lang w:val="es-MX"/>
        </w:rPr>
      </w:pPr>
      <w:r w:rsidRPr="00837EE4">
        <w:rPr>
          <w:rFonts w:ascii="Arial" w:eastAsia="Arial Unicode MS" w:hAnsi="Arial" w:cs="Arial"/>
          <w:b/>
          <w:color w:val="595959" w:themeColor="text1" w:themeTint="A6"/>
          <w:szCs w:val="26"/>
          <w:lang w:val="es-MX"/>
        </w:rPr>
        <w:tab/>
        <w:t xml:space="preserve">PRIMERO. Solicitud de Información. </w:t>
      </w:r>
      <w:r w:rsidRPr="00837EE4">
        <w:rPr>
          <w:rFonts w:ascii="Arial" w:eastAsia="Arial Unicode MS" w:hAnsi="Arial" w:cs="Arial"/>
          <w:color w:val="595959" w:themeColor="text1" w:themeTint="A6"/>
          <w:szCs w:val="26"/>
          <w:lang w:val="es-MX"/>
        </w:rPr>
        <w:t xml:space="preserve">El veinticinco de junio de dos mil diecisiete, </w:t>
      </w:r>
      <w:r w:rsidRPr="00837EE4">
        <w:rPr>
          <w:rFonts w:ascii="Arial" w:hAnsi="Arial" w:cs="Arial"/>
          <w:color w:val="595959" w:themeColor="text1" w:themeTint="A6"/>
          <w:lang w:val="es-MX"/>
        </w:rPr>
        <w:t>se</w:t>
      </w:r>
      <w:r w:rsidRPr="00837EE4">
        <w:rPr>
          <w:rFonts w:ascii="Arial" w:eastAsia="Arial Unicode MS" w:hAnsi="Arial" w:cs="Arial"/>
          <w:color w:val="595959" w:themeColor="text1" w:themeTint="A6"/>
          <w:szCs w:val="26"/>
          <w:lang w:val="es-MX"/>
        </w:rPr>
        <w:t xml:space="preserve"> presentó a través de la Plataforma Nacional de Transparencia una solicitud de información a la </w:t>
      </w:r>
      <w:r w:rsidRPr="00837EE4">
        <w:rPr>
          <w:rFonts w:ascii="Arial" w:hAnsi="Arial" w:cs="Arial"/>
          <w:b/>
          <w:color w:val="595959" w:themeColor="text1" w:themeTint="A6"/>
          <w:lang w:val="es-MX"/>
        </w:rPr>
        <w:t>PROCURADURÍA GENERAL DE JUSTICIA EN EL ESTADO</w:t>
      </w:r>
      <w:r w:rsidRPr="00837EE4">
        <w:rPr>
          <w:rFonts w:ascii="Arial" w:eastAsia="Arial Unicode MS" w:hAnsi="Arial" w:cs="Arial"/>
          <w:b/>
          <w:color w:val="595959" w:themeColor="text1" w:themeTint="A6"/>
          <w:szCs w:val="26"/>
          <w:lang w:val="es-MX"/>
        </w:rPr>
        <w:t xml:space="preserve">, </w:t>
      </w:r>
      <w:r w:rsidRPr="00837EE4">
        <w:rPr>
          <w:rFonts w:ascii="Arial" w:eastAsia="Arial Unicode MS" w:hAnsi="Arial" w:cs="Arial"/>
          <w:color w:val="595959" w:themeColor="text1" w:themeTint="A6"/>
          <w:szCs w:val="26"/>
          <w:lang w:val="es-MX"/>
        </w:rPr>
        <w:t>a la cual se le asignó el número de folio 00372617, y consistió la petición del solicitante en lo siguiente:</w:t>
      </w:r>
      <w:r w:rsidRPr="00837EE4">
        <w:rPr>
          <w:rFonts w:ascii="Arial" w:eastAsia="Arial Unicode MS" w:hAnsi="Arial" w:cs="Arial"/>
          <w:b/>
          <w:color w:val="595959" w:themeColor="text1" w:themeTint="A6"/>
          <w:szCs w:val="26"/>
          <w:lang w:val="es-MX"/>
        </w:rPr>
        <w:t xml:space="preserve"> </w:t>
      </w:r>
    </w:p>
    <w:p w:rsidR="00D42939" w:rsidRPr="00837EE4" w:rsidRDefault="00D42939" w:rsidP="00D42939">
      <w:pPr>
        <w:pStyle w:val="Textoindependienteprimerasangra"/>
        <w:spacing w:after="0" w:line="240" w:lineRule="auto"/>
        <w:ind w:left="851" w:firstLine="900"/>
        <w:rPr>
          <w:rFonts w:ascii="Arial" w:eastAsia="Arial Unicode MS" w:hAnsi="Arial" w:cs="Arial"/>
          <w:i/>
          <w:color w:val="595959" w:themeColor="text1" w:themeTint="A6"/>
          <w:sz w:val="22"/>
          <w:szCs w:val="22"/>
          <w:lang w:val="es-MX"/>
        </w:rPr>
      </w:pPr>
      <w:r w:rsidRPr="00837EE4">
        <w:rPr>
          <w:rFonts w:ascii="Arial" w:eastAsia="Arial Unicode MS" w:hAnsi="Arial" w:cs="Arial"/>
          <w:i/>
          <w:color w:val="595959" w:themeColor="text1" w:themeTint="A6"/>
          <w:sz w:val="22"/>
          <w:szCs w:val="22"/>
          <w:lang w:val="es-MX"/>
        </w:rPr>
        <w:t>“Solicito conocer:</w:t>
      </w:r>
    </w:p>
    <w:p w:rsidR="00D42939" w:rsidRPr="00837EE4" w:rsidRDefault="00D42939" w:rsidP="00D42939">
      <w:pPr>
        <w:pStyle w:val="Textoindependienteprimerasangra"/>
        <w:spacing w:after="0" w:line="240" w:lineRule="auto"/>
        <w:ind w:left="851" w:firstLine="900"/>
        <w:rPr>
          <w:rFonts w:ascii="Arial" w:eastAsia="Arial Unicode MS" w:hAnsi="Arial" w:cs="Arial"/>
          <w:i/>
          <w:color w:val="595959" w:themeColor="text1" w:themeTint="A6"/>
          <w:sz w:val="22"/>
          <w:szCs w:val="22"/>
          <w:lang w:val="es-MX"/>
        </w:rPr>
      </w:pPr>
      <w:r w:rsidRPr="00837EE4">
        <w:rPr>
          <w:rFonts w:ascii="Arial" w:eastAsia="Arial Unicode MS" w:hAnsi="Arial" w:cs="Arial"/>
          <w:i/>
          <w:color w:val="595959" w:themeColor="text1" w:themeTint="A6"/>
          <w:sz w:val="22"/>
          <w:szCs w:val="22"/>
          <w:lang w:val="es-MX"/>
        </w:rPr>
        <w:t>El número de carpetas de investigaciones de las cuales conoce la C. Agente del Ministerio Público IMELDA VAZQUEZ MARTINEZ.</w:t>
      </w:r>
    </w:p>
    <w:p w:rsidR="00D42939" w:rsidRPr="00837EE4" w:rsidRDefault="00D42939" w:rsidP="00D42939">
      <w:pPr>
        <w:pStyle w:val="Textoindependienteprimerasangra"/>
        <w:spacing w:after="0" w:line="240" w:lineRule="auto"/>
        <w:ind w:left="851" w:firstLine="900"/>
        <w:rPr>
          <w:rFonts w:ascii="Arial" w:eastAsia="Arial Unicode MS" w:hAnsi="Arial" w:cs="Arial"/>
          <w:i/>
          <w:color w:val="595959" w:themeColor="text1" w:themeTint="A6"/>
          <w:sz w:val="22"/>
          <w:szCs w:val="22"/>
          <w:lang w:val="es-MX"/>
        </w:rPr>
      </w:pPr>
      <w:r w:rsidRPr="00837EE4">
        <w:rPr>
          <w:rFonts w:ascii="Arial" w:eastAsia="Arial Unicode MS" w:hAnsi="Arial" w:cs="Arial"/>
          <w:i/>
          <w:color w:val="595959" w:themeColor="text1" w:themeTint="A6"/>
          <w:sz w:val="22"/>
          <w:szCs w:val="22"/>
          <w:lang w:val="es-MX"/>
        </w:rPr>
        <w:t>El número de quejas y, o reclamos que se han presentado o que se tengan documentados en contra de dicha servidora con motivo de sus funciones.</w:t>
      </w:r>
    </w:p>
    <w:p w:rsidR="00D42939" w:rsidRPr="00837EE4" w:rsidRDefault="00D42939" w:rsidP="00D42939">
      <w:pPr>
        <w:pStyle w:val="Textoindependienteprimerasangra"/>
        <w:spacing w:after="0" w:line="240" w:lineRule="auto"/>
        <w:ind w:left="851" w:firstLine="900"/>
        <w:rPr>
          <w:rFonts w:ascii="Arial" w:eastAsia="Arial Unicode MS" w:hAnsi="Arial" w:cs="Arial"/>
          <w:i/>
          <w:color w:val="595959" w:themeColor="text1" w:themeTint="A6"/>
          <w:sz w:val="22"/>
          <w:szCs w:val="22"/>
          <w:lang w:val="es-MX"/>
        </w:rPr>
      </w:pPr>
      <w:r w:rsidRPr="00837EE4">
        <w:rPr>
          <w:rFonts w:ascii="Arial" w:eastAsia="Arial Unicode MS" w:hAnsi="Arial" w:cs="Arial"/>
          <w:i/>
          <w:color w:val="595959" w:themeColor="text1" w:themeTint="A6"/>
          <w:sz w:val="22"/>
          <w:szCs w:val="22"/>
          <w:lang w:val="es-MX"/>
        </w:rPr>
        <w:t>El número de investigaciones que realmente atiende, entendiéndose estas por las que realmente tiene activas.</w:t>
      </w:r>
    </w:p>
    <w:p w:rsidR="00D42939" w:rsidRPr="00837EE4" w:rsidRDefault="00D42939" w:rsidP="00D42939">
      <w:pPr>
        <w:pStyle w:val="Textoindependienteprimerasangra"/>
        <w:spacing w:after="0" w:line="240" w:lineRule="auto"/>
        <w:ind w:left="851" w:firstLine="900"/>
        <w:rPr>
          <w:rFonts w:ascii="Arial" w:eastAsia="Arial Unicode MS" w:hAnsi="Arial" w:cs="Arial"/>
          <w:i/>
          <w:color w:val="595959" w:themeColor="text1" w:themeTint="A6"/>
          <w:sz w:val="22"/>
          <w:szCs w:val="22"/>
          <w:lang w:val="es-MX"/>
        </w:rPr>
      </w:pPr>
      <w:r w:rsidRPr="00837EE4">
        <w:rPr>
          <w:rFonts w:ascii="Arial" w:eastAsia="Arial Unicode MS" w:hAnsi="Arial" w:cs="Arial"/>
          <w:i/>
          <w:color w:val="595959" w:themeColor="text1" w:themeTint="A6"/>
          <w:sz w:val="22"/>
          <w:szCs w:val="22"/>
          <w:lang w:val="es-MX"/>
        </w:rPr>
        <w:t>El número de denuncias que tenga en contra, es decir las imputaciones que se hayan formalizado en contra de la Agente del Ministerio Público IMELDA VAZQUEZ MARTINEZ.</w:t>
      </w:r>
    </w:p>
    <w:p w:rsidR="00D42939" w:rsidRPr="00837EE4" w:rsidRDefault="00D42939" w:rsidP="00D42939">
      <w:pPr>
        <w:pStyle w:val="Textoindependienteprimerasangra"/>
        <w:spacing w:after="0" w:line="240" w:lineRule="auto"/>
        <w:ind w:left="851" w:firstLine="900"/>
        <w:rPr>
          <w:rFonts w:ascii="Arial" w:eastAsia="Arial Unicode MS" w:hAnsi="Arial" w:cs="Arial"/>
          <w:i/>
          <w:color w:val="595959" w:themeColor="text1" w:themeTint="A6"/>
          <w:sz w:val="22"/>
          <w:szCs w:val="22"/>
          <w:lang w:val="es-MX"/>
        </w:rPr>
      </w:pPr>
      <w:r w:rsidRPr="00837EE4">
        <w:rPr>
          <w:rFonts w:ascii="Arial" w:eastAsia="Arial Unicode MS" w:hAnsi="Arial" w:cs="Arial"/>
          <w:i/>
          <w:color w:val="595959" w:themeColor="text1" w:themeTint="A6"/>
          <w:sz w:val="22"/>
          <w:szCs w:val="22"/>
          <w:lang w:val="es-MX"/>
        </w:rPr>
        <w:t>En el mismo orden de ideas y en atención al principio de Máxima Publicidad solicito informe cual es el órgano al que debo acudir como gobernado para mostrar y adecuadamente probar la negligencia que mantiene la MINISTERIO PÚBLICO EN COMENTO, en referencia a la carpeta de investigación 09893 donde el suscrito es denunciante.</w:t>
      </w:r>
    </w:p>
    <w:p w:rsidR="00D42939" w:rsidRPr="00837EE4" w:rsidRDefault="00D42939" w:rsidP="00D42939">
      <w:pPr>
        <w:pStyle w:val="Textoindependienteprimerasangra"/>
        <w:spacing w:after="0" w:line="240" w:lineRule="auto"/>
        <w:ind w:left="851" w:firstLine="900"/>
        <w:rPr>
          <w:rFonts w:ascii="Arial" w:eastAsia="Arial Unicode MS" w:hAnsi="Arial" w:cs="Arial"/>
          <w:i/>
          <w:color w:val="595959" w:themeColor="text1" w:themeTint="A6"/>
          <w:sz w:val="22"/>
          <w:szCs w:val="22"/>
          <w:lang w:val="es-MX"/>
        </w:rPr>
      </w:pPr>
      <w:r w:rsidRPr="00837EE4">
        <w:rPr>
          <w:rFonts w:ascii="Arial" w:eastAsia="Arial Unicode MS" w:hAnsi="Arial" w:cs="Arial"/>
          <w:i/>
          <w:color w:val="595959" w:themeColor="text1" w:themeTint="A6"/>
          <w:sz w:val="22"/>
          <w:szCs w:val="22"/>
          <w:lang w:val="es-MX"/>
        </w:rPr>
        <w:t>De igual forma solicito conocer si ha habido sanciones aplicadas a dicha MINISTERIO PÚBLICO con motivo de su desempeño como servidora público.</w:t>
      </w:r>
    </w:p>
    <w:p w:rsidR="00D42939" w:rsidRPr="00837EE4" w:rsidRDefault="00D42939" w:rsidP="00D42939">
      <w:pPr>
        <w:pStyle w:val="Textoindependienteprimerasangra"/>
        <w:spacing w:after="0" w:line="240" w:lineRule="auto"/>
        <w:ind w:left="851" w:firstLine="900"/>
        <w:rPr>
          <w:rFonts w:ascii="Arial" w:eastAsia="Arial Unicode MS" w:hAnsi="Arial" w:cs="Arial"/>
          <w:i/>
          <w:color w:val="595959" w:themeColor="text1" w:themeTint="A6"/>
          <w:sz w:val="22"/>
          <w:szCs w:val="22"/>
          <w:lang w:val="es-MX"/>
        </w:rPr>
      </w:pPr>
    </w:p>
    <w:p w:rsidR="00D42939" w:rsidRPr="00837EE4" w:rsidRDefault="00D42939" w:rsidP="00D42939">
      <w:pPr>
        <w:pStyle w:val="Textoindependienteprimerasangra"/>
        <w:spacing w:after="0" w:line="240" w:lineRule="auto"/>
        <w:ind w:left="851" w:firstLine="900"/>
        <w:rPr>
          <w:rFonts w:ascii="Arial" w:eastAsia="Arial Unicode MS" w:hAnsi="Arial" w:cs="Arial"/>
          <w:i/>
          <w:color w:val="595959" w:themeColor="text1" w:themeTint="A6"/>
          <w:sz w:val="22"/>
          <w:szCs w:val="22"/>
          <w:lang w:val="es-MX"/>
        </w:rPr>
      </w:pPr>
      <w:r w:rsidRPr="00837EE4">
        <w:rPr>
          <w:rFonts w:ascii="Arial" w:eastAsia="Arial Unicode MS" w:hAnsi="Arial" w:cs="Arial"/>
          <w:i/>
          <w:color w:val="595959" w:themeColor="text1" w:themeTint="A6"/>
          <w:sz w:val="22"/>
          <w:szCs w:val="22"/>
          <w:lang w:val="es-MX"/>
        </w:rPr>
        <w:t xml:space="preserve">Finalmente toda vez que dicha Ministerio Público no ha investigado en lo absoluto nada, en la carpeta de investigación 09893 de la cual el suscrito es denunciante, solicito conocer si los motivos de su falta de trabajo como investigadora </w:t>
      </w:r>
      <w:proofErr w:type="spellStart"/>
      <w:r w:rsidRPr="00837EE4">
        <w:rPr>
          <w:rFonts w:ascii="Arial" w:eastAsia="Arial Unicode MS" w:hAnsi="Arial" w:cs="Arial"/>
          <w:i/>
          <w:color w:val="595959" w:themeColor="text1" w:themeTint="A6"/>
          <w:sz w:val="22"/>
          <w:szCs w:val="22"/>
          <w:lang w:val="es-MX"/>
        </w:rPr>
        <w:t>estan</w:t>
      </w:r>
      <w:proofErr w:type="spellEnd"/>
      <w:r w:rsidRPr="00837EE4">
        <w:rPr>
          <w:rFonts w:ascii="Arial" w:eastAsia="Arial Unicode MS" w:hAnsi="Arial" w:cs="Arial"/>
          <w:i/>
          <w:color w:val="595959" w:themeColor="text1" w:themeTint="A6"/>
          <w:sz w:val="22"/>
          <w:szCs w:val="22"/>
          <w:lang w:val="es-MX"/>
        </w:rPr>
        <w:t xml:space="preserve"> documentados y si obran en la </w:t>
      </w:r>
      <w:proofErr w:type="spellStart"/>
      <w:r w:rsidRPr="00837EE4">
        <w:rPr>
          <w:rFonts w:ascii="Arial" w:eastAsia="Arial Unicode MS" w:hAnsi="Arial" w:cs="Arial"/>
          <w:i/>
          <w:color w:val="595959" w:themeColor="text1" w:themeTint="A6"/>
          <w:sz w:val="22"/>
          <w:szCs w:val="22"/>
          <w:lang w:val="es-MX"/>
        </w:rPr>
        <w:t>dependecia</w:t>
      </w:r>
      <w:proofErr w:type="spellEnd"/>
      <w:r w:rsidRPr="00837EE4">
        <w:rPr>
          <w:rFonts w:ascii="Arial" w:eastAsia="Arial Unicode MS" w:hAnsi="Arial" w:cs="Arial"/>
          <w:i/>
          <w:color w:val="595959" w:themeColor="text1" w:themeTint="A6"/>
          <w:sz w:val="22"/>
          <w:szCs w:val="22"/>
          <w:lang w:val="es-MX"/>
        </w:rPr>
        <w:t xml:space="preserve"> que se acude”.</w:t>
      </w:r>
    </w:p>
    <w:p w:rsidR="00D42939" w:rsidRPr="00837EE4" w:rsidRDefault="00D42939" w:rsidP="00D42939">
      <w:pPr>
        <w:spacing w:before="240"/>
        <w:ind w:firstLine="708"/>
        <w:rPr>
          <w:rFonts w:ascii="Arial" w:hAnsi="Arial" w:cs="Arial"/>
          <w:color w:val="595959" w:themeColor="text1" w:themeTint="A6"/>
        </w:rPr>
      </w:pPr>
      <w:r w:rsidRPr="00837EE4">
        <w:rPr>
          <w:rFonts w:ascii="Arial" w:eastAsia="Arial Unicode MS" w:hAnsi="Arial" w:cs="Arial"/>
          <w:b/>
          <w:color w:val="595959" w:themeColor="text1" w:themeTint="A6"/>
        </w:rPr>
        <w:lastRenderedPageBreak/>
        <w:t xml:space="preserve">SEGUNDO. </w:t>
      </w:r>
      <w:r w:rsidRPr="00837EE4">
        <w:rPr>
          <w:rFonts w:ascii="Arial" w:hAnsi="Arial" w:cs="Arial"/>
          <w:b/>
          <w:color w:val="595959" w:themeColor="text1" w:themeTint="A6"/>
        </w:rPr>
        <w:t xml:space="preserve">Respuesta del sujeto obligado. </w:t>
      </w:r>
      <w:r w:rsidRPr="00837EE4">
        <w:rPr>
          <w:rFonts w:ascii="Arial" w:hAnsi="Arial" w:cs="Arial"/>
          <w:color w:val="595959" w:themeColor="text1" w:themeTint="A6"/>
        </w:rPr>
        <w:t>El once de julio de dos mil diecisiete, el sujeto obligado dio respuesta al solicitante a través de la Plataforma, y expresó:</w:t>
      </w:r>
    </w:p>
    <w:p w:rsidR="00D42939" w:rsidRPr="00837EE4" w:rsidRDefault="00D42939" w:rsidP="00D42939">
      <w:pPr>
        <w:spacing w:line="240" w:lineRule="auto"/>
        <w:ind w:left="709" w:hanging="1"/>
        <w:rPr>
          <w:rFonts w:ascii="Arial" w:hAnsi="Arial" w:cs="Arial"/>
          <w:i/>
          <w:color w:val="595959" w:themeColor="text1" w:themeTint="A6"/>
          <w:sz w:val="22"/>
          <w:szCs w:val="22"/>
        </w:rPr>
      </w:pPr>
      <w:r w:rsidRPr="00837EE4">
        <w:rPr>
          <w:rFonts w:ascii="Arial" w:hAnsi="Arial" w:cs="Arial"/>
          <w:color w:val="595959" w:themeColor="text1" w:themeTint="A6"/>
          <w:sz w:val="22"/>
          <w:szCs w:val="22"/>
        </w:rPr>
        <w:tab/>
      </w:r>
      <w:r w:rsidRPr="00837EE4">
        <w:rPr>
          <w:rFonts w:ascii="Arial" w:hAnsi="Arial" w:cs="Arial"/>
          <w:color w:val="595959" w:themeColor="text1" w:themeTint="A6"/>
          <w:sz w:val="22"/>
          <w:szCs w:val="22"/>
        </w:rPr>
        <w:tab/>
      </w:r>
      <w:r w:rsidRPr="00837EE4">
        <w:rPr>
          <w:rFonts w:ascii="Arial" w:hAnsi="Arial" w:cs="Arial"/>
          <w:i/>
          <w:color w:val="595959" w:themeColor="text1" w:themeTint="A6"/>
          <w:sz w:val="22"/>
          <w:szCs w:val="22"/>
        </w:rPr>
        <w:t>“(…)</w:t>
      </w:r>
    </w:p>
    <w:p w:rsidR="00D42939" w:rsidRPr="00837EE4" w:rsidRDefault="00D42939" w:rsidP="00D42939">
      <w:pPr>
        <w:spacing w:line="240" w:lineRule="auto"/>
        <w:ind w:left="709" w:hanging="1"/>
        <w:rPr>
          <w:rFonts w:ascii="Arial" w:hAnsi="Arial" w:cs="Arial"/>
          <w:i/>
          <w:color w:val="595959" w:themeColor="text1" w:themeTint="A6"/>
          <w:sz w:val="22"/>
          <w:szCs w:val="22"/>
        </w:rPr>
      </w:pPr>
      <w:r w:rsidRPr="00837EE4">
        <w:rPr>
          <w:rFonts w:ascii="Arial" w:hAnsi="Arial" w:cs="Arial"/>
          <w:i/>
          <w:color w:val="595959" w:themeColor="text1" w:themeTint="A6"/>
          <w:sz w:val="22"/>
          <w:szCs w:val="22"/>
        </w:rPr>
        <w:tab/>
      </w:r>
      <w:r w:rsidRPr="00837EE4">
        <w:rPr>
          <w:rFonts w:ascii="Arial" w:hAnsi="Arial" w:cs="Arial"/>
          <w:i/>
          <w:color w:val="595959" w:themeColor="text1" w:themeTint="A6"/>
          <w:sz w:val="22"/>
          <w:szCs w:val="22"/>
        </w:rPr>
        <w:tab/>
        <w:t>SE ANEXA VÍA ELECTRÓNICA RESPUESTA A SU SOLICITUD DE INFORMACIÓN REALIZADA VÍA INFOMEX CON NÚMERO DE FOLIO 00372617”.</w:t>
      </w:r>
    </w:p>
    <w:p w:rsidR="00D42939" w:rsidRPr="00837EE4" w:rsidRDefault="00D42939" w:rsidP="00D42939">
      <w:pPr>
        <w:spacing w:line="240" w:lineRule="auto"/>
        <w:ind w:left="709" w:hanging="1"/>
        <w:rPr>
          <w:rFonts w:ascii="Arial" w:hAnsi="Arial" w:cs="Arial"/>
          <w:i/>
          <w:color w:val="595959" w:themeColor="text1" w:themeTint="A6"/>
          <w:sz w:val="22"/>
          <w:szCs w:val="22"/>
        </w:rPr>
      </w:pPr>
    </w:p>
    <w:p w:rsidR="00D42939" w:rsidRPr="00837EE4" w:rsidRDefault="00D42939" w:rsidP="00D42939">
      <w:pPr>
        <w:spacing w:line="240" w:lineRule="auto"/>
        <w:ind w:left="709" w:hanging="1"/>
        <w:rPr>
          <w:rFonts w:ascii="Arial" w:hAnsi="Arial" w:cs="Arial"/>
          <w:i/>
          <w:color w:val="595959" w:themeColor="text1" w:themeTint="A6"/>
          <w:sz w:val="22"/>
          <w:szCs w:val="22"/>
        </w:rPr>
      </w:pPr>
      <w:r w:rsidRPr="00837EE4">
        <w:rPr>
          <w:rFonts w:ascii="Arial" w:hAnsi="Arial" w:cs="Arial"/>
          <w:i/>
          <w:noProof/>
          <w:color w:val="595959" w:themeColor="text1" w:themeTint="A6"/>
          <w:sz w:val="22"/>
          <w:szCs w:val="22"/>
          <w:lang w:val="es-MX" w:eastAsia="es-MX"/>
        </w:rPr>
        <w:drawing>
          <wp:inline distT="0" distB="0" distL="0" distR="0">
            <wp:extent cx="4972050" cy="3219450"/>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4972050" cy="3219450"/>
                    </a:xfrm>
                    <a:prstGeom prst="rect">
                      <a:avLst/>
                    </a:prstGeom>
                    <a:noFill/>
                    <a:ln w="9525">
                      <a:noFill/>
                      <a:miter lim="800000"/>
                      <a:headEnd/>
                      <a:tailEnd/>
                    </a:ln>
                  </pic:spPr>
                </pic:pic>
              </a:graphicData>
            </a:graphic>
          </wp:inline>
        </w:drawing>
      </w:r>
    </w:p>
    <w:p w:rsidR="00D42939" w:rsidRPr="00837EE4" w:rsidRDefault="00D42939" w:rsidP="00D42939">
      <w:pPr>
        <w:spacing w:line="240" w:lineRule="auto"/>
        <w:ind w:left="709" w:hanging="1"/>
        <w:rPr>
          <w:rFonts w:ascii="Arial" w:hAnsi="Arial" w:cs="Arial"/>
          <w:i/>
          <w:color w:val="595959" w:themeColor="text1" w:themeTint="A6"/>
          <w:sz w:val="22"/>
          <w:szCs w:val="22"/>
        </w:rPr>
      </w:pPr>
    </w:p>
    <w:p w:rsidR="00D42939" w:rsidRPr="00837EE4" w:rsidRDefault="00D42939" w:rsidP="00D42939">
      <w:pPr>
        <w:pStyle w:val="Textoindependienteprimerasangra"/>
        <w:spacing w:after="0"/>
        <w:ind w:firstLine="708"/>
        <w:rPr>
          <w:rFonts w:ascii="Arial" w:eastAsia="Arial Unicode MS" w:hAnsi="Arial" w:cs="Arial"/>
          <w:color w:val="595959" w:themeColor="text1" w:themeTint="A6"/>
          <w:szCs w:val="26"/>
          <w:lang w:val="es-MX"/>
        </w:rPr>
      </w:pPr>
      <w:r w:rsidRPr="00837EE4">
        <w:rPr>
          <w:rFonts w:ascii="Arial" w:hAnsi="Arial" w:cs="Arial"/>
          <w:b/>
          <w:color w:val="595959" w:themeColor="text1" w:themeTint="A6"/>
          <w:szCs w:val="26"/>
        </w:rPr>
        <w:t xml:space="preserve">TERCERO. Interposición del recurso de revisión. </w:t>
      </w:r>
      <w:r w:rsidRPr="00837EE4">
        <w:rPr>
          <w:rFonts w:ascii="Arial" w:hAnsi="Arial" w:cs="Arial"/>
          <w:color w:val="595959" w:themeColor="text1" w:themeTint="A6"/>
          <w:szCs w:val="26"/>
        </w:rPr>
        <w:t>El catorce de septiembre de dos mil diecisiete, el recurrente interpuso el presente medio de impugnación a través de la Plataforma Nacional de Transparencia, por el cual impugnó la respuesta emitida por parte del sujeto obligado</w:t>
      </w:r>
      <w:r w:rsidRPr="00837EE4">
        <w:rPr>
          <w:rFonts w:ascii="Arial" w:eastAsia="Arial Unicode MS" w:hAnsi="Arial" w:cs="Arial"/>
          <w:b/>
          <w:color w:val="595959" w:themeColor="text1" w:themeTint="A6"/>
          <w:szCs w:val="26"/>
          <w:lang w:val="es-MX"/>
        </w:rPr>
        <w:t>,</w:t>
      </w:r>
      <w:r w:rsidRPr="00837EE4">
        <w:rPr>
          <w:rFonts w:ascii="Arial" w:eastAsia="Arial Unicode MS" w:hAnsi="Arial" w:cs="Arial"/>
          <w:color w:val="595959" w:themeColor="text1" w:themeTint="A6"/>
          <w:szCs w:val="26"/>
          <w:lang w:val="es-MX"/>
        </w:rPr>
        <w:t xml:space="preserve"> y en el que señaló como motivos de inconformidad:</w:t>
      </w:r>
    </w:p>
    <w:p w:rsidR="00D42939" w:rsidRPr="00837EE4" w:rsidRDefault="00D42939" w:rsidP="00D42939">
      <w:pPr>
        <w:pStyle w:val="Textoindependienteprimerasangra"/>
        <w:spacing w:line="240" w:lineRule="auto"/>
        <w:ind w:left="709" w:firstLine="708"/>
        <w:rPr>
          <w:rFonts w:ascii="Arial" w:hAnsi="Arial" w:cs="Arial"/>
          <w:i/>
          <w:color w:val="595959" w:themeColor="text1" w:themeTint="A6"/>
          <w:sz w:val="20"/>
          <w:szCs w:val="20"/>
        </w:rPr>
      </w:pPr>
      <w:r w:rsidRPr="00837EE4">
        <w:rPr>
          <w:rFonts w:ascii="Arial" w:hAnsi="Arial" w:cs="Arial"/>
          <w:i/>
          <w:color w:val="595959" w:themeColor="text1" w:themeTint="A6"/>
          <w:sz w:val="20"/>
          <w:szCs w:val="20"/>
        </w:rPr>
        <w:t xml:space="preserve">“Me inconformo dado que  la información no se </w:t>
      </w:r>
      <w:proofErr w:type="spellStart"/>
      <w:r w:rsidRPr="00837EE4">
        <w:rPr>
          <w:rFonts w:ascii="Arial" w:hAnsi="Arial" w:cs="Arial"/>
          <w:i/>
          <w:color w:val="595959" w:themeColor="text1" w:themeTint="A6"/>
          <w:sz w:val="20"/>
          <w:szCs w:val="20"/>
        </w:rPr>
        <w:t>soportaen</w:t>
      </w:r>
      <w:proofErr w:type="spellEnd"/>
      <w:r w:rsidRPr="00837EE4">
        <w:rPr>
          <w:rFonts w:ascii="Arial" w:hAnsi="Arial" w:cs="Arial"/>
          <w:i/>
          <w:color w:val="595959" w:themeColor="text1" w:themeTint="A6"/>
          <w:sz w:val="20"/>
          <w:szCs w:val="20"/>
        </w:rPr>
        <w:t xml:space="preserve"> base solida lo cual supone que el suscrito deba creer lo que la autoridad emisora diga sin tener que probar sus actos, a mayor abundamiento no se le puede llamar un acto de transparencia pública los actos que sean realizados discretos, irracionales y sin sustento alguno, por lo cual recurro dicha decisión, puesto que no estoy obligado a aceptar cifras que la autoridad invente o me haga creer a forma a priori”.</w:t>
      </w:r>
    </w:p>
    <w:p w:rsidR="00D42939" w:rsidRPr="00837EE4" w:rsidRDefault="00D42939" w:rsidP="00D42939">
      <w:pPr>
        <w:spacing w:before="240"/>
        <w:rPr>
          <w:rFonts w:ascii="Arial" w:hAnsi="Arial" w:cs="Arial"/>
          <w:color w:val="595959" w:themeColor="text1" w:themeTint="A6"/>
        </w:rPr>
      </w:pPr>
      <w:r w:rsidRPr="00837EE4">
        <w:rPr>
          <w:rFonts w:ascii="Arial" w:hAnsi="Arial" w:cs="Arial"/>
          <w:color w:val="595959" w:themeColor="text1" w:themeTint="A6"/>
        </w:rPr>
        <w:tab/>
      </w:r>
      <w:r w:rsidRPr="00837EE4">
        <w:rPr>
          <w:rFonts w:ascii="Arial" w:hAnsi="Arial" w:cs="Arial"/>
          <w:b/>
          <w:color w:val="595959" w:themeColor="text1" w:themeTint="A6"/>
        </w:rPr>
        <w:t>CUARTO. Turno.</w:t>
      </w:r>
      <w:r w:rsidRPr="00837EE4">
        <w:rPr>
          <w:rFonts w:ascii="Arial" w:hAnsi="Arial" w:cs="Arial"/>
          <w:color w:val="595959" w:themeColor="text1" w:themeTint="A6"/>
        </w:rPr>
        <w:t xml:space="preserve"> De conformidad con el artículo 174, fracción I, de la Ley de Transparencia y Acceso a la Información Pública del Estado, el recurso de revisión RR-522/2017-3 fue turnado a la Comisionada Ponente para que sustanciara el periodo de instrucción, y en su momento presentara al Pleno el proyecto de resolución correspondiente.</w:t>
      </w:r>
    </w:p>
    <w:p w:rsidR="00D42939" w:rsidRPr="00837EE4" w:rsidRDefault="00D42939" w:rsidP="00D42939">
      <w:pPr>
        <w:spacing w:before="240" w:after="240"/>
        <w:rPr>
          <w:rFonts w:ascii="Arial" w:hAnsi="Arial" w:cs="Arial"/>
          <w:color w:val="595959" w:themeColor="text1" w:themeTint="A6"/>
        </w:rPr>
      </w:pPr>
      <w:r w:rsidRPr="00837EE4">
        <w:rPr>
          <w:rFonts w:ascii="Arial" w:hAnsi="Arial" w:cs="Arial"/>
          <w:b/>
          <w:color w:val="595959" w:themeColor="text1" w:themeTint="A6"/>
        </w:rPr>
        <w:tab/>
        <w:t xml:space="preserve">QUINTO. Admisión. </w:t>
      </w:r>
      <w:r w:rsidRPr="00837EE4">
        <w:rPr>
          <w:rFonts w:ascii="Arial" w:hAnsi="Arial" w:cs="Arial"/>
          <w:color w:val="595959" w:themeColor="text1" w:themeTint="A6"/>
        </w:rPr>
        <w:t xml:space="preserve">El veintitrés de agosto dos mil diecisiete, esta Comisión, con base en el artículo 174, fracción II, de la Ley de Transparencia del Estado, admitió el presente medio de impugnación a </w:t>
      </w:r>
      <w:r w:rsidRPr="00837EE4">
        <w:rPr>
          <w:rFonts w:ascii="Arial" w:hAnsi="Arial" w:cs="Arial"/>
          <w:color w:val="595959" w:themeColor="text1" w:themeTint="A6"/>
        </w:rPr>
        <w:lastRenderedPageBreak/>
        <w:t xml:space="preserve">fin de integrar el expediente respectivo y ponerlo a disposición de las partes para que en el plazo que reconoce la ley manifestaran y ofrecieran las pruebas que a su derecho correspondía. </w:t>
      </w:r>
    </w:p>
    <w:p w:rsidR="00D42939" w:rsidRPr="00837EE4" w:rsidRDefault="00D42939" w:rsidP="00D42939">
      <w:pPr>
        <w:rPr>
          <w:rFonts w:ascii="Arial" w:hAnsi="Arial" w:cs="Arial"/>
          <w:color w:val="595959" w:themeColor="text1" w:themeTint="A6"/>
        </w:rPr>
      </w:pPr>
      <w:r w:rsidRPr="00837EE4">
        <w:rPr>
          <w:rFonts w:ascii="Arial" w:hAnsi="Arial" w:cs="Arial"/>
          <w:b/>
          <w:color w:val="595959" w:themeColor="text1" w:themeTint="A6"/>
        </w:rPr>
        <w:tab/>
        <w:t xml:space="preserve">SEXTO. Manifestaciones de las partes. </w:t>
      </w:r>
      <w:r w:rsidRPr="00837EE4">
        <w:rPr>
          <w:rFonts w:ascii="Arial" w:hAnsi="Arial" w:cs="Arial"/>
          <w:color w:val="595959" w:themeColor="text1" w:themeTint="A6"/>
        </w:rPr>
        <w:t>El ocho de septiembre de dos mil diecisiete, se emitió un acuerdo por el cual se tuvo por recibido el escrito signado por el Titular de la Unidad de Transparencia, el cual se presentó en tiempo acorde a la certificación que obra a foja 52 del presente sumario, por lo que el sujeto obligado realizó las manifestaciones que a su derecho estimó conveniente.</w:t>
      </w:r>
    </w:p>
    <w:p w:rsidR="00D42939" w:rsidRPr="00837EE4" w:rsidRDefault="00D42939" w:rsidP="00D42939">
      <w:pPr>
        <w:spacing w:before="240"/>
        <w:rPr>
          <w:rFonts w:ascii="Arial" w:hAnsi="Arial" w:cs="Arial"/>
          <w:color w:val="595959" w:themeColor="text1" w:themeTint="A6"/>
        </w:rPr>
      </w:pPr>
      <w:r w:rsidRPr="00837EE4">
        <w:rPr>
          <w:rFonts w:ascii="Arial" w:hAnsi="Arial" w:cs="Arial"/>
          <w:color w:val="595959" w:themeColor="text1" w:themeTint="A6"/>
        </w:rPr>
        <w:tab/>
        <w:t>Por lo que toca al inconforme, éste no hizo uso de su derecho contenido en el artículo 174, fracción III de la Ley de Transparencia del Estado.</w:t>
      </w:r>
    </w:p>
    <w:p w:rsidR="00D42939" w:rsidRPr="00837EE4" w:rsidRDefault="00D42939" w:rsidP="00D42939">
      <w:pPr>
        <w:spacing w:before="240"/>
        <w:rPr>
          <w:rFonts w:ascii="Arial" w:hAnsi="Arial" w:cs="Arial"/>
          <w:color w:val="595959" w:themeColor="text1" w:themeTint="A6"/>
        </w:rPr>
      </w:pPr>
      <w:r w:rsidRPr="00837EE4">
        <w:rPr>
          <w:rFonts w:ascii="Arial" w:hAnsi="Arial" w:cs="Arial"/>
          <w:color w:val="595959" w:themeColor="text1" w:themeTint="A6"/>
        </w:rPr>
        <w:tab/>
      </w:r>
      <w:r w:rsidRPr="00837EE4">
        <w:rPr>
          <w:rFonts w:ascii="Arial" w:hAnsi="Arial" w:cs="Arial"/>
          <w:b/>
          <w:color w:val="595959" w:themeColor="text1" w:themeTint="A6"/>
        </w:rPr>
        <w:t xml:space="preserve">SÉPTIMO. Cierre de Instrucción. </w:t>
      </w:r>
      <w:r w:rsidRPr="00837EE4">
        <w:rPr>
          <w:rFonts w:ascii="Arial" w:hAnsi="Arial" w:cs="Arial"/>
          <w:color w:val="595959" w:themeColor="text1" w:themeTint="A6"/>
        </w:rPr>
        <w:t>El nueve de octubre de dos mil diecisiete, se decretó el Cierre de Instrucción del expediente formado con motivo del presente recurso de revisión, a fin de que la ponente presentara el proyecto de resolución correspondiente.</w:t>
      </w:r>
    </w:p>
    <w:p w:rsidR="00D42939" w:rsidRPr="00837EE4" w:rsidRDefault="00D42939" w:rsidP="00D42939">
      <w:pPr>
        <w:spacing w:before="240"/>
        <w:jc w:val="center"/>
        <w:rPr>
          <w:rFonts w:ascii="Arial" w:hAnsi="Arial" w:cs="Arial"/>
          <w:b/>
          <w:color w:val="595959" w:themeColor="text1" w:themeTint="A6"/>
        </w:rPr>
      </w:pPr>
      <w:r w:rsidRPr="00837EE4">
        <w:rPr>
          <w:rFonts w:ascii="Arial" w:hAnsi="Arial" w:cs="Arial"/>
          <w:b/>
          <w:color w:val="595959" w:themeColor="text1" w:themeTint="A6"/>
        </w:rPr>
        <w:t xml:space="preserve">C O N S I D E R A N D O </w:t>
      </w:r>
    </w:p>
    <w:p w:rsidR="00D42939" w:rsidRPr="00837EE4" w:rsidRDefault="00D42939" w:rsidP="00D42939">
      <w:pPr>
        <w:pStyle w:val="Textoindependienteprimerasangra"/>
        <w:spacing w:before="240"/>
        <w:ind w:firstLine="900"/>
        <w:rPr>
          <w:rFonts w:ascii="Arial" w:hAnsi="Arial" w:cs="Arial"/>
          <w:color w:val="595959" w:themeColor="text1" w:themeTint="A6"/>
        </w:rPr>
      </w:pPr>
      <w:r w:rsidRPr="00837EE4">
        <w:rPr>
          <w:rFonts w:ascii="Arial" w:eastAsia="Arial Unicode MS" w:hAnsi="Arial" w:cs="Arial"/>
          <w:b/>
          <w:color w:val="595959" w:themeColor="text1" w:themeTint="A6"/>
        </w:rPr>
        <w:t>PRIMERO. Competencia.</w:t>
      </w:r>
      <w:r w:rsidRPr="00837EE4">
        <w:rPr>
          <w:rFonts w:ascii="Arial" w:eastAsia="Arial Unicode MS" w:hAnsi="Arial" w:cs="Arial"/>
          <w:color w:val="595959" w:themeColor="text1" w:themeTint="A6"/>
        </w:rPr>
        <w:t xml:space="preserve"> El Pleno de esta Comisión Estatal de Garantía de Acceso a la Información Pública es competente para resolver el presente recurso de revisión de conformidad con los artículos 6°, apartado A., fracción IV, de la Constitución Política de los Estados Unidos Mexicanos; 17, fracción III, párrafo tercero, de la Constitución Política del Estado Libre y Soberano de San Luis Potosí; 37, 42, fracciones I y II; 142 y 151 de la Ley General de Transparencia y Acceso a la Información Pública; 27, 34, fracciones I y II; 166 y 175 de la Ley de Transparencia y Acceso a la Información Pública del Estado de San Luis potosí, así como de los artículos 1, 2, 4, fracción IV; 6 fracciones I y II; 7, 9 y 10, fracción XXVIII, del Reglamento Interior de la Comisión Estatal de Garantía de Acceso a la Información Pública.</w:t>
      </w:r>
    </w:p>
    <w:p w:rsidR="00D42939" w:rsidRPr="00837EE4" w:rsidRDefault="00D42939" w:rsidP="00D42939">
      <w:pPr>
        <w:pStyle w:val="Textoindependienteprimerasangra"/>
        <w:spacing w:before="240"/>
        <w:ind w:firstLine="900"/>
        <w:rPr>
          <w:rFonts w:ascii="Arial" w:eastAsia="Arial Unicode MS" w:hAnsi="Arial" w:cs="Arial"/>
          <w:color w:val="595959" w:themeColor="text1" w:themeTint="A6"/>
        </w:rPr>
      </w:pPr>
      <w:r w:rsidRPr="00837EE4">
        <w:rPr>
          <w:rFonts w:ascii="Arial" w:eastAsia="Arial Unicode MS" w:hAnsi="Arial" w:cs="Arial"/>
          <w:b/>
          <w:color w:val="595959" w:themeColor="text1" w:themeTint="A6"/>
        </w:rPr>
        <w:t xml:space="preserve">SEGUNDO. Procedibilidad y Oportunidad. </w:t>
      </w:r>
      <w:r w:rsidRPr="00837EE4">
        <w:rPr>
          <w:rFonts w:ascii="Arial" w:eastAsia="Arial Unicode MS" w:hAnsi="Arial" w:cs="Arial"/>
          <w:color w:val="595959" w:themeColor="text1" w:themeTint="A6"/>
        </w:rPr>
        <w:t xml:space="preserve">Previo al estudio de fondo del asunto, se procede a analizar los requisitos de oportunidad y </w:t>
      </w:r>
      <w:r w:rsidRPr="00837EE4">
        <w:rPr>
          <w:rFonts w:ascii="Arial" w:eastAsia="Arial Unicode MS" w:hAnsi="Arial" w:cs="Arial"/>
          <w:color w:val="595959" w:themeColor="text1" w:themeTint="A6"/>
        </w:rPr>
        <w:lastRenderedPageBreak/>
        <w:t>procedibilidad que debe reunir el presente medio de impugnación, los cuales están previstos en los artículos 166 y 168 de la Ley de Transparencia y Acceso a la Información Pública del Estado de San Luis Potosí.</w:t>
      </w:r>
    </w:p>
    <w:p w:rsidR="00D42939" w:rsidRPr="00837EE4" w:rsidRDefault="00D42939" w:rsidP="00D42939">
      <w:pPr>
        <w:pStyle w:val="Textoindependienteprimerasangra"/>
        <w:spacing w:before="240"/>
        <w:ind w:firstLine="900"/>
        <w:rPr>
          <w:rFonts w:ascii="Arial" w:eastAsia="Arial Unicode MS" w:hAnsi="Arial" w:cs="Arial"/>
          <w:color w:val="595959" w:themeColor="text1" w:themeTint="A6"/>
        </w:rPr>
      </w:pPr>
      <w:r w:rsidRPr="00837EE4">
        <w:rPr>
          <w:rFonts w:ascii="Arial" w:eastAsia="Arial Unicode MS" w:hAnsi="Arial" w:cs="Arial"/>
          <w:color w:val="595959" w:themeColor="text1" w:themeTint="A6"/>
        </w:rPr>
        <w:t xml:space="preserve">El recurso de revisión fue interpuesto dentro del plazo de quince días hábiles previsto en el artículo 166 de la Ley de Transparencia del Estado, toda vez que el ente obligado notificó su respuesta el </w:t>
      </w:r>
      <w:r w:rsidRPr="00837EE4">
        <w:rPr>
          <w:rFonts w:ascii="Arial" w:eastAsia="Arial Unicode MS" w:hAnsi="Arial" w:cs="Arial"/>
          <w:b/>
          <w:color w:val="595959" w:themeColor="text1" w:themeTint="A6"/>
        </w:rPr>
        <w:t>once de julio de dos mil diecisiete (ver anverso de la foja 01)</w:t>
      </w:r>
      <w:r w:rsidRPr="00837EE4">
        <w:rPr>
          <w:rFonts w:ascii="Arial" w:hAnsi="Arial" w:cs="Arial"/>
          <w:color w:val="595959" w:themeColor="text1" w:themeTint="A6"/>
          <w:lang w:val="es-MX"/>
        </w:rPr>
        <w:t xml:space="preserve">; resulta entonces que al ser presentado el presente medio de defensa el </w:t>
      </w:r>
      <w:r w:rsidRPr="00837EE4">
        <w:rPr>
          <w:rFonts w:ascii="Arial" w:hAnsi="Arial" w:cs="Arial"/>
          <w:b/>
          <w:color w:val="595959" w:themeColor="text1" w:themeTint="A6"/>
          <w:lang w:val="es-MX"/>
        </w:rPr>
        <w:t>catorce de agosto de dos mil diecisiete</w:t>
      </w:r>
      <w:r w:rsidRPr="00837EE4">
        <w:rPr>
          <w:rFonts w:ascii="Arial" w:hAnsi="Arial" w:cs="Arial"/>
          <w:color w:val="595959" w:themeColor="text1" w:themeTint="A6"/>
          <w:lang w:val="es-MX"/>
        </w:rPr>
        <w:t>, se hizo valer al décimo tercer día del plazo con que contaba el recurrente, y por ello su interposición es acorde a lo dispuesto por el numeral 166 de la Ley de Transparencia del Estado, por lo que se concluye que se encuentra dentro de los márgenes temporales previstos en el citado precepto legal.</w:t>
      </w:r>
    </w:p>
    <w:p w:rsidR="00D42939" w:rsidRPr="00837EE4" w:rsidRDefault="00D42939" w:rsidP="00D42939">
      <w:pPr>
        <w:pStyle w:val="Textoindependienteprimerasangra"/>
        <w:spacing w:before="240"/>
        <w:ind w:firstLine="900"/>
        <w:rPr>
          <w:rFonts w:ascii="Arial" w:hAnsi="Arial" w:cs="Arial"/>
          <w:color w:val="595959" w:themeColor="text1" w:themeTint="A6"/>
          <w:lang w:val="es-MX"/>
        </w:rPr>
      </w:pPr>
      <w:r w:rsidRPr="00837EE4">
        <w:rPr>
          <w:rFonts w:ascii="Arial" w:hAnsi="Arial" w:cs="Arial"/>
          <w:color w:val="595959" w:themeColor="text1" w:themeTint="A6"/>
          <w:lang w:val="es-MX"/>
        </w:rPr>
        <w:t>Asimismo, tras la revisión del escrito de interposición, se concluye que se acreditan de manera satisfactoria los extremos a que alude el artículo 168 de la Ley de Transparencia y Acceso a la Información Pública del Estado de San Luis Potosí.</w:t>
      </w:r>
    </w:p>
    <w:p w:rsidR="00D42939" w:rsidRPr="00837EE4" w:rsidRDefault="00D42939" w:rsidP="00D42939">
      <w:pPr>
        <w:pStyle w:val="Textoindependienteprimerasangra"/>
        <w:spacing w:before="240"/>
        <w:ind w:firstLine="900"/>
        <w:rPr>
          <w:rFonts w:ascii="Arial" w:hAnsi="Arial" w:cs="Arial"/>
          <w:color w:val="595959" w:themeColor="text1" w:themeTint="A6"/>
          <w:lang w:val="es-MX"/>
        </w:rPr>
      </w:pPr>
      <w:r w:rsidRPr="00837EE4">
        <w:rPr>
          <w:rFonts w:ascii="Arial" w:hAnsi="Arial" w:cs="Arial"/>
          <w:b/>
          <w:color w:val="595959" w:themeColor="text1" w:themeTint="A6"/>
          <w:sz w:val="24"/>
          <w:lang w:val="es-MX"/>
        </w:rPr>
        <w:t xml:space="preserve">TERCERO. Estudio y análisis de fondo. </w:t>
      </w:r>
      <w:r w:rsidRPr="00837EE4">
        <w:rPr>
          <w:rFonts w:ascii="Arial" w:hAnsi="Arial" w:cs="Arial"/>
          <w:color w:val="595959" w:themeColor="text1" w:themeTint="A6"/>
          <w:lang w:val="es-MX"/>
        </w:rPr>
        <w:t>Esta Comisión procede, con fundamento en el artículo 144, fracción VI, de la Ley General de Transparencia y Acceso a la Información Pública, al estudio de la inconformidad planteada por el hoy recurrente, en la que esencialmente expresó que la autoridad no sustentó su respuesta en los documentos que respalden los datos otorgados.</w:t>
      </w:r>
    </w:p>
    <w:p w:rsidR="006D538B" w:rsidRDefault="00D42939" w:rsidP="006D538B">
      <w:pPr>
        <w:pStyle w:val="Textoindependienteprimerasangra"/>
        <w:spacing w:before="240"/>
        <w:ind w:firstLine="900"/>
        <w:rPr>
          <w:rFonts w:ascii="Arial" w:hAnsi="Arial" w:cs="Arial"/>
          <w:color w:val="595959" w:themeColor="text1" w:themeTint="A6"/>
          <w:lang w:val="es-MX"/>
        </w:rPr>
      </w:pPr>
      <w:r w:rsidRPr="00837EE4">
        <w:rPr>
          <w:rFonts w:ascii="Arial" w:hAnsi="Arial" w:cs="Arial"/>
          <w:color w:val="595959" w:themeColor="text1" w:themeTint="A6"/>
          <w:lang w:val="es-MX"/>
        </w:rPr>
        <w:t>Del análisis del planteamiento formulado por el recurrente, se advierte que resulta fundado, toda vez que, como se logra apreciar, el sujeto obligado no dio certeza respecto al sentido de su respuesta, pues no garantizó la verificabilidad de la información.</w:t>
      </w:r>
      <w:r w:rsidR="006D538B" w:rsidRPr="006D538B">
        <w:rPr>
          <w:rFonts w:ascii="Arial" w:hAnsi="Arial" w:cs="Arial"/>
          <w:color w:val="595959" w:themeColor="text1" w:themeTint="A6"/>
          <w:lang w:val="es-MX"/>
        </w:rPr>
        <w:t xml:space="preserve"> </w:t>
      </w:r>
    </w:p>
    <w:p w:rsidR="00D42939" w:rsidRPr="00837EE4" w:rsidRDefault="006D538B" w:rsidP="00D42939">
      <w:pPr>
        <w:pStyle w:val="Textoindependienteprimerasangra"/>
        <w:spacing w:before="240"/>
        <w:ind w:firstLine="900"/>
        <w:rPr>
          <w:rFonts w:ascii="Arial" w:hAnsi="Arial" w:cs="Arial"/>
          <w:color w:val="595959" w:themeColor="text1" w:themeTint="A6"/>
          <w:lang w:val="es-MX"/>
        </w:rPr>
      </w:pPr>
      <w:r w:rsidRPr="00837EE4">
        <w:rPr>
          <w:rFonts w:ascii="Arial" w:hAnsi="Arial" w:cs="Arial"/>
          <w:color w:val="595959" w:themeColor="text1" w:themeTint="A6"/>
          <w:lang w:val="es-MX"/>
        </w:rPr>
        <w:t xml:space="preserve">De conformidad con lo establecido por el artículo 3°, fracción XIX; 6°, 11, 18 y 19 de la Ley de Transparencia y Acceso a la Información Pública, el bien jurídico tutelado, tanto por la Ley como por esta Comisión, es que los particulares estén en posibilidades de acceder a la </w:t>
      </w:r>
      <w:r w:rsidRPr="00837EE4">
        <w:rPr>
          <w:rFonts w:ascii="Arial" w:hAnsi="Arial" w:cs="Arial"/>
          <w:color w:val="595959" w:themeColor="text1" w:themeTint="A6"/>
          <w:lang w:val="es-MX"/>
        </w:rPr>
        <w:lastRenderedPageBreak/>
        <w:t>información que generan, administran o poseen los sujetos obligados dentro de sus archivos, y para ello la Ley establece diversos procedimientos por los cuales es posible que las personas tengan la oportunidad de consultar e incluso reproducir los documentos disponibles en los archivos de cada autoridad.</w:t>
      </w:r>
    </w:p>
    <w:p w:rsidR="00D42939" w:rsidRPr="00837EE4" w:rsidRDefault="00D42939" w:rsidP="00D42939">
      <w:pPr>
        <w:pStyle w:val="Textoindependienteprimerasangra"/>
        <w:spacing w:before="240"/>
        <w:ind w:firstLine="900"/>
        <w:rPr>
          <w:rFonts w:ascii="Arial" w:hAnsi="Arial" w:cs="Arial"/>
          <w:color w:val="595959" w:themeColor="text1" w:themeTint="A6"/>
          <w:lang w:val="es-MX"/>
        </w:rPr>
      </w:pPr>
      <w:r w:rsidRPr="00837EE4">
        <w:rPr>
          <w:rFonts w:ascii="Arial" w:hAnsi="Arial" w:cs="Arial"/>
          <w:color w:val="595959" w:themeColor="text1" w:themeTint="A6"/>
          <w:lang w:val="es-MX"/>
        </w:rPr>
        <w:t>Para que el procedimiento que se hace referencia en el párrafo anterior se lleve a cabo, la Ley de Transparencia estableció en su artículo 53 la creación de unidades técnicas especializadas al interior de cada sujeto obligado, que tienen como principal función fungir como enlaces entre los usuarios y las áreas y unidades administrativas que conforman a cada sujeto obligado.</w:t>
      </w:r>
    </w:p>
    <w:p w:rsidR="00D42939" w:rsidRPr="00837EE4" w:rsidRDefault="00D42939" w:rsidP="00D42939">
      <w:pPr>
        <w:pStyle w:val="Textoindependienteprimerasangra"/>
        <w:spacing w:before="240"/>
        <w:ind w:firstLine="900"/>
        <w:rPr>
          <w:rFonts w:ascii="Arial" w:hAnsi="Arial" w:cs="Arial"/>
          <w:color w:val="595959" w:themeColor="text1" w:themeTint="A6"/>
          <w:lang w:val="es-MX"/>
        </w:rPr>
      </w:pPr>
      <w:r w:rsidRPr="00837EE4">
        <w:rPr>
          <w:rFonts w:ascii="Arial" w:hAnsi="Arial" w:cs="Arial"/>
          <w:color w:val="595959" w:themeColor="text1" w:themeTint="A6"/>
          <w:lang w:val="es-MX"/>
        </w:rPr>
        <w:t>El resultado a conseguir del procedimiento de acceso a la información es, como su nombre lo dice, permitir que toda persona, a petición expresa o mediante consulta en los portales de Transparencia de los sujetos obligados, conozca y se informe de la actuación de toda autoridad o persona física o moral que reciba o ejerza recursos públicos, o en su defecto realice actos de autoridad, transparente su actuación en un claro ejercicio de rendición de cuentas.</w:t>
      </w:r>
    </w:p>
    <w:p w:rsidR="00D42939" w:rsidRPr="00837EE4" w:rsidRDefault="00D42939" w:rsidP="00D42939">
      <w:pPr>
        <w:pStyle w:val="Textoindependienteprimerasangra"/>
        <w:spacing w:before="240"/>
        <w:ind w:firstLine="900"/>
        <w:rPr>
          <w:rFonts w:ascii="Arial" w:hAnsi="Arial" w:cs="Arial"/>
          <w:color w:val="595959" w:themeColor="text1" w:themeTint="A6"/>
          <w:lang w:val="es-MX"/>
        </w:rPr>
      </w:pPr>
      <w:r w:rsidRPr="00837EE4">
        <w:rPr>
          <w:rFonts w:ascii="Arial" w:hAnsi="Arial" w:cs="Arial"/>
          <w:color w:val="595959" w:themeColor="text1" w:themeTint="A6"/>
          <w:lang w:val="es-MX"/>
        </w:rPr>
        <w:t>De todo lo anterior, se concluye que, con fundamento en los artículo 18 y 19 de la Ley de Transparencia, en concordancia con el principio de legalidad, la información que los sujetos obligados entreguen debe ser aquella que sea generada, administrada o poseída de conformidad con los ordenamientos normativos, reglamentarios o disposiciones administrativas que regulen su actuación, y para ello es que debe existir la debida fundamentación y motivación del acto generado por la autoridad para efectos de permitir el acceso a la autoridad, ya que debe siempre existir constancia de las determinaciones adoptadas por la autoridad.</w:t>
      </w:r>
    </w:p>
    <w:p w:rsidR="00D42939" w:rsidRPr="00837EE4" w:rsidRDefault="00D42939" w:rsidP="00D42939">
      <w:pPr>
        <w:spacing w:before="240"/>
        <w:rPr>
          <w:rFonts w:ascii="Arial" w:hAnsi="Arial" w:cs="Arial"/>
          <w:color w:val="595959" w:themeColor="text1" w:themeTint="A6"/>
          <w:szCs w:val="26"/>
        </w:rPr>
      </w:pPr>
      <w:r w:rsidRPr="00837EE4">
        <w:rPr>
          <w:rFonts w:ascii="Arial" w:hAnsi="Arial" w:cs="Arial"/>
          <w:color w:val="595959" w:themeColor="text1" w:themeTint="A6"/>
          <w:szCs w:val="26"/>
        </w:rPr>
        <w:tab/>
        <w:t xml:space="preserve">Cabe destacar que la respuesta emitida por el sujeto obligado adolece de una insuficiente fundamentación y motivación, ya que no sustenta los datos que proporciona conforme a la información que posee en sus archivos, es decir, no dotó de elementos que permitan advertir como se llegó a la conclusión que en su respuesta señaló. Sirve de </w:t>
      </w:r>
      <w:r w:rsidRPr="00837EE4">
        <w:rPr>
          <w:rFonts w:ascii="Arial" w:hAnsi="Arial" w:cs="Arial"/>
          <w:color w:val="595959" w:themeColor="text1" w:themeTint="A6"/>
          <w:szCs w:val="26"/>
        </w:rPr>
        <w:lastRenderedPageBreak/>
        <w:t>fundamento a lo anterior, la tesis de jurisprudencia VI. 2o. J/248, emitida en la Octava Época por el Segundo Tribunal Colegiado del Sexto Circuito, que establece:</w:t>
      </w:r>
    </w:p>
    <w:p w:rsidR="00D42939" w:rsidRPr="00837EE4" w:rsidRDefault="00D42939" w:rsidP="00D42939">
      <w:pPr>
        <w:spacing w:before="240" w:line="276" w:lineRule="auto"/>
        <w:ind w:left="709" w:firstLine="709"/>
        <w:rPr>
          <w:rFonts w:ascii="Arial" w:hAnsi="Arial" w:cs="Arial"/>
          <w:b/>
          <w:bCs/>
          <w:i/>
          <w:color w:val="595959" w:themeColor="text1" w:themeTint="A6"/>
          <w:sz w:val="22"/>
          <w:szCs w:val="26"/>
          <w:lang w:eastAsia="es-MX"/>
        </w:rPr>
      </w:pPr>
      <w:r w:rsidRPr="00837EE4">
        <w:rPr>
          <w:rFonts w:ascii="Arial" w:hAnsi="Arial" w:cs="Arial"/>
          <w:b/>
          <w:bCs/>
          <w:i/>
          <w:color w:val="595959" w:themeColor="text1" w:themeTint="A6"/>
          <w:sz w:val="22"/>
          <w:szCs w:val="26"/>
          <w:lang w:eastAsia="es-MX"/>
        </w:rPr>
        <w:t>FUNDAMENTACION Y MOTIVACION DE LOS ACTOS ADMINISTRATIVOS.</w:t>
      </w:r>
      <w:r w:rsidRPr="00837EE4">
        <w:rPr>
          <w:rFonts w:ascii="Arial" w:hAnsi="Arial" w:cs="Arial"/>
          <w:i/>
          <w:color w:val="595959" w:themeColor="text1" w:themeTint="A6"/>
          <w:sz w:val="22"/>
          <w:szCs w:val="26"/>
          <w:lang w:eastAsia="es-MX"/>
        </w:rPr>
        <w:br/>
      </w:r>
    </w:p>
    <w:p w:rsidR="00D42939" w:rsidRPr="00837EE4" w:rsidRDefault="00D42939" w:rsidP="00D42939">
      <w:pPr>
        <w:spacing w:line="276" w:lineRule="auto"/>
        <w:ind w:left="709" w:firstLine="709"/>
        <w:rPr>
          <w:rFonts w:ascii="Arial" w:hAnsi="Arial" w:cs="Arial"/>
          <w:i/>
          <w:color w:val="595959" w:themeColor="text1" w:themeTint="A6"/>
          <w:sz w:val="22"/>
          <w:szCs w:val="26"/>
          <w:lang w:eastAsia="es-MX"/>
        </w:rPr>
      </w:pPr>
      <w:r w:rsidRPr="00837EE4">
        <w:rPr>
          <w:rFonts w:ascii="Arial" w:hAnsi="Arial" w:cs="Arial"/>
          <w:i/>
          <w:color w:val="595959" w:themeColor="text1" w:themeTint="A6"/>
          <w:sz w:val="22"/>
          <w:szCs w:val="26"/>
          <w:lang w:eastAsia="es-MX"/>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837EE4">
        <w:rPr>
          <w:rFonts w:ascii="Arial" w:hAnsi="Arial" w:cs="Arial"/>
          <w:i/>
          <w:color w:val="595959" w:themeColor="text1" w:themeTint="A6"/>
          <w:sz w:val="22"/>
          <w:szCs w:val="26"/>
          <w:lang w:eastAsia="es-MX"/>
        </w:rPr>
        <w:t>subincisos</w:t>
      </w:r>
      <w:proofErr w:type="spellEnd"/>
      <w:r w:rsidRPr="00837EE4">
        <w:rPr>
          <w:rFonts w:ascii="Arial" w:hAnsi="Arial" w:cs="Arial"/>
          <w:i/>
          <w:color w:val="595959" w:themeColor="text1" w:themeTint="A6"/>
          <w:sz w:val="22"/>
          <w:szCs w:val="26"/>
          <w:lang w:eastAsia="es-MX"/>
        </w:rPr>
        <w:t>, fracciones y preceptos aplicables, y b).- Los cuerpos legales, y preceptos que otorgan competencia o facultades a las autoridades para emitir el acto en agravio del gobernado.</w:t>
      </w:r>
    </w:p>
    <w:p w:rsidR="00D42939" w:rsidRPr="00837EE4" w:rsidRDefault="00D42939" w:rsidP="00D42939">
      <w:pPr>
        <w:spacing w:before="240"/>
        <w:rPr>
          <w:rFonts w:ascii="Arial" w:hAnsi="Arial" w:cs="Arial"/>
          <w:color w:val="595959" w:themeColor="text1" w:themeTint="A6"/>
          <w:szCs w:val="26"/>
        </w:rPr>
      </w:pPr>
      <w:r w:rsidRPr="00837EE4">
        <w:rPr>
          <w:rFonts w:ascii="Arial" w:hAnsi="Arial" w:cs="Arial"/>
          <w:color w:val="595959" w:themeColor="text1" w:themeTint="A6"/>
          <w:szCs w:val="26"/>
        </w:rPr>
        <w:tab/>
        <w:t>Conforme al criterio anterior, el sujeto obligado tiene que entregar toda la información que le fue solicitada por el particular, pero previo a ello tiene que fundar y motivar de manera clara, precisa y exhaustiva el fundamento legal o normativo que da sustento a la generación, posesión o administración de la información y se deberá, conforme al artículo 151 de la Ley de Transparencia y Acceso a la Información Pública, proporcionar la información solicitada conforme a aquello que pueda ser verificable en los archivos públicos del sujeto obligado, es decir, las constancias y evidencias que se proporcionen deben ser única y exclusivamente aquellas que resulten identificadas con la solicitud del peticionario y que se sustenten en los documentos que obran en posesión de la autoridad.</w:t>
      </w:r>
    </w:p>
    <w:p w:rsidR="00D42939" w:rsidRPr="00837EE4" w:rsidRDefault="00D42939" w:rsidP="00D42939">
      <w:pPr>
        <w:spacing w:before="240"/>
        <w:rPr>
          <w:rFonts w:ascii="Arial" w:hAnsi="Arial" w:cs="Arial"/>
          <w:color w:val="595959" w:themeColor="text1" w:themeTint="A6"/>
          <w:szCs w:val="26"/>
        </w:rPr>
      </w:pPr>
      <w:r w:rsidRPr="00837EE4">
        <w:rPr>
          <w:rFonts w:ascii="Arial" w:hAnsi="Arial" w:cs="Arial"/>
          <w:color w:val="595959" w:themeColor="text1" w:themeTint="A6"/>
          <w:szCs w:val="26"/>
        </w:rPr>
        <w:tab/>
        <w:t xml:space="preserve">Lo anterior, porque el solicitante debe tener la certeza y seguridad de que la información que se le va a proporcionar es aquella que solicitó y </w:t>
      </w:r>
      <w:r w:rsidRPr="00837EE4">
        <w:rPr>
          <w:rFonts w:ascii="Arial" w:hAnsi="Arial" w:cs="Arial"/>
          <w:color w:val="595959" w:themeColor="text1" w:themeTint="A6"/>
          <w:szCs w:val="26"/>
        </w:rPr>
        <w:lastRenderedPageBreak/>
        <w:t>que obra en los archivos públicos, ya que conforme a los artículos 24, fracción XIII; 61 y 151 de la Ley de Transparencia y Acceso a la Información Pública del Estado, el sujeto obligado debe entregar en el estado en que se encuentren las constancias que den sustento a la función pública que realiza y para ello debe contener los elementos mínimos que doten de certeza y seguridad jurídica al solicitante, ya que, se insiste, en la respuesta que emita debe identificar de manera clara y precisa la información que va a entregar y el sustento normativo o administrativo que identifique la expresión documental de la información, así como los medios por los cuales llegó a identificar que aquello que proporciona es todo cuando obra en sus archivos, pues se debe garantizar las condiciones que permitan  al particular conocer los motivos por los cuales su solicitud es atendida de una u otra forma.</w:t>
      </w:r>
    </w:p>
    <w:p w:rsidR="00D42939" w:rsidRPr="00837EE4" w:rsidRDefault="00D42939" w:rsidP="00D42939">
      <w:pPr>
        <w:spacing w:before="240"/>
        <w:rPr>
          <w:rFonts w:ascii="Arial" w:eastAsia="Arial Unicode MS" w:hAnsi="Arial" w:cs="Arial"/>
          <w:color w:val="595959" w:themeColor="text1" w:themeTint="A6"/>
        </w:rPr>
      </w:pPr>
      <w:r w:rsidRPr="00837EE4">
        <w:rPr>
          <w:rFonts w:ascii="Arial" w:eastAsia="Arial Unicode MS" w:hAnsi="Arial" w:cs="Arial"/>
          <w:color w:val="595959" w:themeColor="text1" w:themeTint="A6"/>
        </w:rPr>
        <w:tab/>
        <w:t>Por otra parte, en los oficios por los cuales se dio respuesta se precisan los datos que se otorgaron para dar contestación a cada una de las interrogantes que formuló el particular; sin embargo, no se garantiza que el peticionario cuente con elementos de verificabilidad y confiabilidad de la información. Lo anterior, en concordancia con lo establecido por los</w:t>
      </w:r>
      <w:r w:rsidRPr="00837EE4">
        <w:rPr>
          <w:rFonts w:ascii="Arial" w:hAnsi="Arial" w:cs="Arial"/>
          <w:color w:val="595959" w:themeColor="text1" w:themeTint="A6"/>
          <w:szCs w:val="26"/>
        </w:rPr>
        <w:t xml:space="preserve"> Lineamientos Técnicos Generales para la Publicación, Homologación y Estandarización de la Información de las Obligaciones Establecidas en el Título Quinto y en la Fracción IV del artículo 31 de la Ley General de Transparencia y Acceso a la Información Pública, que deben de Difundir los Sujetos Obligados en los Portales de Internet y en la Plataforma Nacional de Transparencia, que en su artículo quinto establecen:</w:t>
      </w:r>
    </w:p>
    <w:p w:rsidR="00D42939" w:rsidRPr="00837EE4" w:rsidRDefault="00D42939" w:rsidP="00D42939">
      <w:pPr>
        <w:spacing w:after="240" w:line="240" w:lineRule="auto"/>
        <w:ind w:left="709" w:firstLine="709"/>
        <w:rPr>
          <w:rFonts w:ascii="Arial" w:hAnsi="Arial" w:cs="Arial"/>
          <w:color w:val="595959" w:themeColor="text1" w:themeTint="A6"/>
          <w:szCs w:val="26"/>
        </w:rPr>
      </w:pPr>
      <w:r w:rsidRPr="00837EE4">
        <w:rPr>
          <w:rFonts w:ascii="Arial" w:hAnsi="Arial" w:cs="Arial"/>
          <w:i/>
          <w:color w:val="595959" w:themeColor="text1" w:themeTint="A6"/>
          <w:sz w:val="22"/>
          <w:szCs w:val="22"/>
          <w:shd w:val="clear" w:color="auto" w:fill="FFFFFF"/>
        </w:rPr>
        <w:t>“Calidad</w:t>
      </w:r>
      <w:r w:rsidRPr="00837EE4">
        <w:rPr>
          <w:rStyle w:val="apple-converted-space"/>
          <w:rFonts w:ascii="Arial" w:hAnsi="Arial" w:cs="Arial"/>
          <w:i/>
          <w:iCs/>
          <w:color w:val="595959" w:themeColor="text1" w:themeTint="A6"/>
          <w:sz w:val="22"/>
          <w:szCs w:val="22"/>
          <w:shd w:val="clear" w:color="auto" w:fill="FFFFFF"/>
        </w:rPr>
        <w:t> </w:t>
      </w:r>
      <w:r w:rsidRPr="00837EE4">
        <w:rPr>
          <w:rFonts w:ascii="Arial" w:hAnsi="Arial" w:cs="Arial"/>
          <w:i/>
          <w:color w:val="595959" w:themeColor="text1" w:themeTint="A6"/>
          <w:sz w:val="22"/>
          <w:szCs w:val="22"/>
          <w:shd w:val="clear" w:color="auto" w:fill="FFFFFF"/>
        </w:rPr>
        <w:t>de</w:t>
      </w:r>
      <w:r w:rsidRPr="00837EE4">
        <w:rPr>
          <w:rStyle w:val="apple-converted-space"/>
          <w:rFonts w:ascii="Arial" w:hAnsi="Arial" w:cs="Arial"/>
          <w:i/>
          <w:color w:val="595959" w:themeColor="text1" w:themeTint="A6"/>
          <w:sz w:val="22"/>
          <w:szCs w:val="22"/>
          <w:shd w:val="clear" w:color="auto" w:fill="FFFFFF"/>
        </w:rPr>
        <w:t> </w:t>
      </w:r>
      <w:r w:rsidRPr="00837EE4">
        <w:rPr>
          <w:rFonts w:ascii="Arial" w:hAnsi="Arial" w:cs="Arial"/>
          <w:i/>
          <w:color w:val="595959" w:themeColor="text1" w:themeTint="A6"/>
          <w:sz w:val="22"/>
          <w:szCs w:val="22"/>
          <w:shd w:val="clear" w:color="auto" w:fill="FFFFFF"/>
        </w:rPr>
        <w:t>la</w:t>
      </w:r>
      <w:r w:rsidRPr="00837EE4">
        <w:rPr>
          <w:rStyle w:val="apple-converted-space"/>
          <w:rFonts w:ascii="Arial" w:hAnsi="Arial" w:cs="Arial"/>
          <w:i/>
          <w:color w:val="595959" w:themeColor="text1" w:themeTint="A6"/>
          <w:sz w:val="22"/>
          <w:szCs w:val="22"/>
          <w:shd w:val="clear" w:color="auto" w:fill="FFFFFF"/>
        </w:rPr>
        <w:t> </w:t>
      </w:r>
      <w:r w:rsidRPr="00837EE4">
        <w:rPr>
          <w:rFonts w:ascii="Arial" w:hAnsi="Arial" w:cs="Arial"/>
          <w:i/>
          <w:color w:val="595959" w:themeColor="text1" w:themeTint="A6"/>
          <w:sz w:val="22"/>
          <w:szCs w:val="22"/>
          <w:shd w:val="clear" w:color="auto" w:fill="FFFFFF"/>
        </w:rPr>
        <w:t>información.</w:t>
      </w:r>
      <w:r w:rsidRPr="00837EE4">
        <w:rPr>
          <w:rStyle w:val="apple-converted-space"/>
          <w:rFonts w:ascii="Arial" w:hAnsi="Arial" w:cs="Arial"/>
          <w:i/>
          <w:color w:val="595959" w:themeColor="text1" w:themeTint="A6"/>
          <w:sz w:val="22"/>
          <w:szCs w:val="22"/>
          <w:shd w:val="clear" w:color="auto" w:fill="FFFFFF"/>
        </w:rPr>
        <w:t> </w:t>
      </w:r>
      <w:r w:rsidRPr="00837EE4">
        <w:rPr>
          <w:rFonts w:ascii="Arial" w:hAnsi="Arial" w:cs="Arial"/>
          <w:i/>
          <w:color w:val="595959" w:themeColor="text1" w:themeTint="A6"/>
          <w:sz w:val="22"/>
          <w:szCs w:val="22"/>
          <w:shd w:val="clear" w:color="auto" w:fill="FFFFFF"/>
        </w:rPr>
        <w:t>La</w:t>
      </w:r>
      <w:r w:rsidRPr="00837EE4">
        <w:rPr>
          <w:rStyle w:val="apple-converted-space"/>
          <w:rFonts w:ascii="Arial" w:hAnsi="Arial" w:cs="Arial"/>
          <w:i/>
          <w:color w:val="595959" w:themeColor="text1" w:themeTint="A6"/>
          <w:sz w:val="22"/>
          <w:szCs w:val="22"/>
          <w:shd w:val="clear" w:color="auto" w:fill="FFFFFF"/>
        </w:rPr>
        <w:t> </w:t>
      </w:r>
      <w:r w:rsidRPr="00837EE4">
        <w:rPr>
          <w:rFonts w:ascii="Arial" w:hAnsi="Arial" w:cs="Arial"/>
          <w:i/>
          <w:color w:val="595959" w:themeColor="text1" w:themeTint="A6"/>
          <w:sz w:val="22"/>
          <w:szCs w:val="22"/>
          <w:shd w:val="clear" w:color="auto" w:fill="FFFFFF"/>
        </w:rPr>
        <w:t>información</w:t>
      </w:r>
      <w:r w:rsidRPr="00837EE4">
        <w:rPr>
          <w:rStyle w:val="apple-converted-space"/>
          <w:rFonts w:ascii="Arial" w:hAnsi="Arial" w:cs="Arial"/>
          <w:i/>
          <w:color w:val="595959" w:themeColor="text1" w:themeTint="A6"/>
          <w:sz w:val="22"/>
          <w:szCs w:val="22"/>
          <w:shd w:val="clear" w:color="auto" w:fill="FFFFFF"/>
        </w:rPr>
        <w:t> </w:t>
      </w:r>
      <w:r w:rsidRPr="00837EE4">
        <w:rPr>
          <w:rFonts w:ascii="Arial" w:hAnsi="Arial" w:cs="Arial"/>
          <w:i/>
          <w:color w:val="595959" w:themeColor="text1" w:themeTint="A6"/>
          <w:sz w:val="22"/>
          <w:szCs w:val="22"/>
          <w:shd w:val="clear" w:color="auto" w:fill="FFFFFF"/>
        </w:rPr>
        <w:t>que</w:t>
      </w:r>
      <w:r w:rsidRPr="00837EE4">
        <w:rPr>
          <w:rStyle w:val="apple-converted-space"/>
          <w:rFonts w:ascii="Arial" w:hAnsi="Arial" w:cs="Arial"/>
          <w:i/>
          <w:color w:val="595959" w:themeColor="text1" w:themeTint="A6"/>
          <w:sz w:val="22"/>
          <w:szCs w:val="22"/>
          <w:shd w:val="clear" w:color="auto" w:fill="FFFFFF"/>
        </w:rPr>
        <w:t> </w:t>
      </w:r>
      <w:r w:rsidRPr="00837EE4">
        <w:rPr>
          <w:rFonts w:ascii="Arial" w:hAnsi="Arial" w:cs="Arial"/>
          <w:i/>
          <w:color w:val="595959" w:themeColor="text1" w:themeTint="A6"/>
          <w:sz w:val="22"/>
          <w:szCs w:val="22"/>
          <w:shd w:val="clear" w:color="auto" w:fill="FFFFFF"/>
        </w:rPr>
        <w:t>se</w:t>
      </w:r>
      <w:r w:rsidRPr="00837EE4">
        <w:rPr>
          <w:rStyle w:val="apple-converted-space"/>
          <w:rFonts w:ascii="Arial" w:hAnsi="Arial" w:cs="Arial"/>
          <w:i/>
          <w:color w:val="595959" w:themeColor="text1" w:themeTint="A6"/>
          <w:sz w:val="22"/>
          <w:szCs w:val="22"/>
          <w:shd w:val="clear" w:color="auto" w:fill="FFFFFF"/>
        </w:rPr>
        <w:t> </w:t>
      </w:r>
      <w:r w:rsidRPr="00837EE4">
        <w:rPr>
          <w:rFonts w:ascii="Arial" w:hAnsi="Arial" w:cs="Arial"/>
          <w:i/>
          <w:color w:val="595959" w:themeColor="text1" w:themeTint="A6"/>
          <w:sz w:val="22"/>
          <w:szCs w:val="22"/>
          <w:shd w:val="clear" w:color="auto" w:fill="FFFFFF"/>
        </w:rPr>
        <w:t>ponga</w:t>
      </w:r>
      <w:r w:rsidRPr="00837EE4">
        <w:rPr>
          <w:rStyle w:val="apple-converted-space"/>
          <w:rFonts w:ascii="Arial" w:hAnsi="Arial" w:cs="Arial"/>
          <w:i/>
          <w:color w:val="595959" w:themeColor="text1" w:themeTint="A6"/>
          <w:sz w:val="22"/>
          <w:szCs w:val="22"/>
          <w:shd w:val="clear" w:color="auto" w:fill="FFFFFF"/>
        </w:rPr>
        <w:t> </w:t>
      </w:r>
      <w:r w:rsidRPr="00837EE4">
        <w:rPr>
          <w:rFonts w:ascii="Arial" w:hAnsi="Arial" w:cs="Arial"/>
          <w:i/>
          <w:color w:val="595959" w:themeColor="text1" w:themeTint="A6"/>
          <w:sz w:val="22"/>
          <w:szCs w:val="22"/>
          <w:shd w:val="clear" w:color="auto" w:fill="FFFFFF"/>
        </w:rPr>
        <w:t>a</w:t>
      </w:r>
      <w:r w:rsidRPr="00837EE4">
        <w:rPr>
          <w:rStyle w:val="apple-converted-space"/>
          <w:rFonts w:ascii="Arial" w:hAnsi="Arial" w:cs="Arial"/>
          <w:i/>
          <w:color w:val="595959" w:themeColor="text1" w:themeTint="A6"/>
          <w:sz w:val="22"/>
          <w:szCs w:val="22"/>
          <w:shd w:val="clear" w:color="auto" w:fill="FFFFFF"/>
        </w:rPr>
        <w:t> </w:t>
      </w:r>
      <w:r w:rsidRPr="00837EE4">
        <w:rPr>
          <w:rFonts w:ascii="Arial" w:hAnsi="Arial" w:cs="Arial"/>
          <w:i/>
          <w:color w:val="595959" w:themeColor="text1" w:themeTint="A6"/>
          <w:sz w:val="22"/>
          <w:szCs w:val="22"/>
          <w:shd w:val="clear" w:color="auto" w:fill="FFFFFF"/>
        </w:rPr>
        <w:t>disposición</w:t>
      </w:r>
      <w:r w:rsidRPr="00837EE4">
        <w:rPr>
          <w:rStyle w:val="apple-converted-space"/>
          <w:rFonts w:ascii="Arial" w:hAnsi="Arial" w:cs="Arial"/>
          <w:i/>
          <w:color w:val="595959" w:themeColor="text1" w:themeTint="A6"/>
          <w:sz w:val="22"/>
          <w:szCs w:val="22"/>
          <w:shd w:val="clear" w:color="auto" w:fill="FFFFFF"/>
        </w:rPr>
        <w:t> </w:t>
      </w:r>
      <w:r w:rsidRPr="00837EE4">
        <w:rPr>
          <w:rFonts w:ascii="Arial" w:hAnsi="Arial" w:cs="Arial"/>
          <w:i/>
          <w:color w:val="595959" w:themeColor="text1" w:themeTint="A6"/>
          <w:sz w:val="22"/>
          <w:szCs w:val="22"/>
          <w:shd w:val="clear" w:color="auto" w:fill="FFFFFF"/>
        </w:rPr>
        <w:t>de</w:t>
      </w:r>
      <w:r w:rsidRPr="00837EE4">
        <w:rPr>
          <w:rStyle w:val="apple-converted-space"/>
          <w:rFonts w:ascii="Arial" w:hAnsi="Arial" w:cs="Arial"/>
          <w:i/>
          <w:color w:val="595959" w:themeColor="text1" w:themeTint="A6"/>
          <w:sz w:val="22"/>
          <w:szCs w:val="22"/>
          <w:shd w:val="clear" w:color="auto" w:fill="FFFFFF"/>
        </w:rPr>
        <w:t> </w:t>
      </w:r>
      <w:r w:rsidRPr="00837EE4">
        <w:rPr>
          <w:rFonts w:ascii="Arial" w:hAnsi="Arial" w:cs="Arial"/>
          <w:i/>
          <w:color w:val="595959" w:themeColor="text1" w:themeTint="A6"/>
          <w:sz w:val="22"/>
          <w:szCs w:val="22"/>
          <w:shd w:val="clear" w:color="auto" w:fill="FFFFFF"/>
        </w:rPr>
        <w:t>cualquier</w:t>
      </w:r>
      <w:r w:rsidRPr="00837EE4">
        <w:rPr>
          <w:rStyle w:val="apple-converted-space"/>
          <w:rFonts w:ascii="Arial" w:hAnsi="Arial" w:cs="Arial"/>
          <w:i/>
          <w:color w:val="595959" w:themeColor="text1" w:themeTint="A6"/>
          <w:sz w:val="22"/>
          <w:szCs w:val="22"/>
          <w:shd w:val="clear" w:color="auto" w:fill="FFFFFF"/>
        </w:rPr>
        <w:t> </w:t>
      </w:r>
      <w:r w:rsidRPr="00837EE4">
        <w:rPr>
          <w:rFonts w:ascii="Arial" w:hAnsi="Arial" w:cs="Arial"/>
          <w:i/>
          <w:color w:val="595959" w:themeColor="text1" w:themeTint="A6"/>
          <w:sz w:val="22"/>
          <w:szCs w:val="22"/>
          <w:shd w:val="clear" w:color="auto" w:fill="FFFFFF"/>
        </w:rPr>
        <w:t>interesado,</w:t>
      </w:r>
      <w:r w:rsidRPr="00837EE4">
        <w:rPr>
          <w:rStyle w:val="apple-converted-space"/>
          <w:rFonts w:ascii="Arial" w:hAnsi="Arial" w:cs="Arial"/>
          <w:i/>
          <w:color w:val="595959" w:themeColor="text1" w:themeTint="A6"/>
          <w:sz w:val="22"/>
          <w:szCs w:val="22"/>
          <w:shd w:val="clear" w:color="auto" w:fill="FFFFFF"/>
        </w:rPr>
        <w:t> </w:t>
      </w:r>
      <w:r w:rsidRPr="00837EE4">
        <w:rPr>
          <w:rFonts w:ascii="Arial" w:hAnsi="Arial" w:cs="Arial"/>
          <w:i/>
          <w:color w:val="595959" w:themeColor="text1" w:themeTint="A6"/>
          <w:sz w:val="22"/>
          <w:szCs w:val="22"/>
          <w:shd w:val="clear" w:color="auto" w:fill="FFFFFF"/>
        </w:rPr>
        <w:t>como</w:t>
      </w:r>
      <w:r w:rsidRPr="00837EE4">
        <w:rPr>
          <w:rStyle w:val="apple-converted-space"/>
          <w:rFonts w:ascii="Arial" w:hAnsi="Arial" w:cs="Arial"/>
          <w:i/>
          <w:color w:val="595959" w:themeColor="text1" w:themeTint="A6"/>
          <w:sz w:val="22"/>
          <w:szCs w:val="22"/>
          <w:shd w:val="clear" w:color="auto" w:fill="FFFFFF"/>
        </w:rPr>
        <w:t> </w:t>
      </w:r>
      <w:r w:rsidRPr="00837EE4">
        <w:rPr>
          <w:rFonts w:ascii="Arial" w:hAnsi="Arial" w:cs="Arial"/>
          <w:i/>
          <w:color w:val="595959" w:themeColor="text1" w:themeTint="A6"/>
          <w:sz w:val="22"/>
          <w:szCs w:val="22"/>
          <w:shd w:val="clear" w:color="auto" w:fill="FFFFFF"/>
        </w:rPr>
        <w:t>resultado</w:t>
      </w:r>
      <w:r w:rsidRPr="00837EE4">
        <w:rPr>
          <w:rStyle w:val="apple-converted-space"/>
          <w:rFonts w:ascii="Arial" w:hAnsi="Arial" w:cs="Arial"/>
          <w:i/>
          <w:color w:val="595959" w:themeColor="text1" w:themeTint="A6"/>
          <w:sz w:val="22"/>
          <w:szCs w:val="22"/>
          <w:shd w:val="clear" w:color="auto" w:fill="FFFFFF"/>
        </w:rPr>
        <w:t> </w:t>
      </w:r>
      <w:r w:rsidRPr="00837EE4">
        <w:rPr>
          <w:rFonts w:ascii="Arial" w:hAnsi="Arial" w:cs="Arial"/>
          <w:i/>
          <w:color w:val="595959" w:themeColor="text1" w:themeTint="A6"/>
          <w:sz w:val="22"/>
          <w:szCs w:val="22"/>
          <w:shd w:val="clear" w:color="auto" w:fill="FFFFFF"/>
        </w:rPr>
        <w:t>de</w:t>
      </w:r>
      <w:r w:rsidRPr="00837EE4">
        <w:rPr>
          <w:rStyle w:val="apple-converted-space"/>
          <w:rFonts w:ascii="Arial" w:hAnsi="Arial" w:cs="Arial"/>
          <w:i/>
          <w:color w:val="595959" w:themeColor="text1" w:themeTint="A6"/>
          <w:sz w:val="22"/>
          <w:szCs w:val="22"/>
          <w:shd w:val="clear" w:color="auto" w:fill="FFFFFF"/>
        </w:rPr>
        <w:t> </w:t>
      </w:r>
      <w:r w:rsidRPr="00837EE4">
        <w:rPr>
          <w:rFonts w:ascii="Arial" w:hAnsi="Arial" w:cs="Arial"/>
          <w:i/>
          <w:color w:val="595959" w:themeColor="text1" w:themeTint="A6"/>
          <w:sz w:val="22"/>
          <w:szCs w:val="22"/>
          <w:shd w:val="clear" w:color="auto" w:fill="FFFFFF"/>
        </w:rPr>
        <w:t>las políticas públicas en materia de transparencia, debe ser veraz, confiable, oportuna, congruente, integral, actualizada, accesible, comprensible y verificable”.</w:t>
      </w:r>
    </w:p>
    <w:p w:rsidR="00D42939" w:rsidRPr="00837EE4" w:rsidRDefault="00D42939" w:rsidP="00D42939">
      <w:pPr>
        <w:spacing w:before="240"/>
        <w:rPr>
          <w:rFonts w:ascii="Arial" w:hAnsi="Arial" w:cs="Arial"/>
          <w:color w:val="595959" w:themeColor="text1" w:themeTint="A6"/>
          <w:szCs w:val="26"/>
        </w:rPr>
      </w:pPr>
      <w:r w:rsidRPr="00837EE4">
        <w:rPr>
          <w:rFonts w:ascii="Arial" w:hAnsi="Arial" w:cs="Arial"/>
          <w:color w:val="595959" w:themeColor="text1" w:themeTint="A6"/>
        </w:rPr>
        <w:tab/>
      </w:r>
      <w:r w:rsidRPr="00837EE4">
        <w:rPr>
          <w:rFonts w:ascii="Arial" w:hAnsi="Arial" w:cs="Arial"/>
          <w:color w:val="595959" w:themeColor="text1" w:themeTint="A6"/>
          <w:szCs w:val="26"/>
        </w:rPr>
        <w:t>A su vez y en atención a las características que trae aparejada la calidad de la información, resulta aplicable lo dispuesto por el artículo sexto de los citados lineamientos, que establece:</w:t>
      </w:r>
    </w:p>
    <w:p w:rsidR="00D42939" w:rsidRPr="007C1555" w:rsidRDefault="00D42939" w:rsidP="00D42939">
      <w:pPr>
        <w:spacing w:line="240" w:lineRule="auto"/>
        <w:ind w:left="709" w:firstLine="567"/>
        <w:rPr>
          <w:rFonts w:ascii="Arial" w:hAnsi="Arial" w:cs="Arial"/>
          <w:i/>
          <w:color w:val="595959" w:themeColor="text1" w:themeTint="A6"/>
          <w:sz w:val="20"/>
          <w:szCs w:val="20"/>
        </w:rPr>
      </w:pPr>
      <w:r w:rsidRPr="007C1555">
        <w:rPr>
          <w:rFonts w:ascii="Arial" w:hAnsi="Arial" w:cs="Arial"/>
          <w:i/>
          <w:color w:val="595959" w:themeColor="text1" w:themeTint="A6"/>
          <w:sz w:val="20"/>
          <w:szCs w:val="20"/>
        </w:rPr>
        <w:t>Sexto. Con base en los atributos de calidad de la información y accesibilidad antes referidos, y en lo dispuesto por el artículo 61 de la Ley General, se establece que la información publicada en los portales de transparencia de los sujetos obligados y en la Plataforma Nacional, deberá contar además con las siguientes características: veracidad, confiabilidad, oportunidad, congruencia, integralidad, actualidad, accesibilidad, comprensibilidad y verificabilidad, las cuales se definen a continuación:</w:t>
      </w:r>
    </w:p>
    <w:p w:rsidR="00D42939" w:rsidRPr="007C1555" w:rsidRDefault="00D42939" w:rsidP="00D42939">
      <w:pPr>
        <w:spacing w:line="240" w:lineRule="auto"/>
        <w:ind w:left="709" w:firstLine="567"/>
        <w:rPr>
          <w:rFonts w:ascii="Arial" w:hAnsi="Arial" w:cs="Arial"/>
          <w:i/>
          <w:color w:val="595959" w:themeColor="text1" w:themeTint="A6"/>
          <w:sz w:val="20"/>
          <w:szCs w:val="20"/>
        </w:rPr>
      </w:pPr>
      <w:r w:rsidRPr="007C1555">
        <w:rPr>
          <w:rFonts w:ascii="Arial" w:hAnsi="Arial" w:cs="Arial"/>
          <w:i/>
          <w:color w:val="595959" w:themeColor="text1" w:themeTint="A6"/>
          <w:sz w:val="20"/>
          <w:szCs w:val="20"/>
        </w:rPr>
        <w:t>(…)</w:t>
      </w:r>
    </w:p>
    <w:p w:rsidR="00D42939" w:rsidRPr="007C1555" w:rsidRDefault="00D42939" w:rsidP="00D42939">
      <w:pPr>
        <w:spacing w:line="240" w:lineRule="auto"/>
        <w:ind w:left="709" w:firstLine="567"/>
        <w:rPr>
          <w:rFonts w:ascii="Arial" w:hAnsi="Arial" w:cs="Arial"/>
          <w:i/>
          <w:color w:val="595959" w:themeColor="text1" w:themeTint="A6"/>
          <w:sz w:val="20"/>
          <w:szCs w:val="20"/>
        </w:rPr>
      </w:pPr>
      <w:r w:rsidRPr="007C1555">
        <w:rPr>
          <w:rFonts w:ascii="Arial" w:hAnsi="Arial" w:cs="Arial"/>
          <w:i/>
          <w:color w:val="595959" w:themeColor="text1" w:themeTint="A6"/>
          <w:sz w:val="20"/>
          <w:szCs w:val="20"/>
        </w:rPr>
        <w:lastRenderedPageBreak/>
        <w:t>II. Confiabilidad: Que es creíble, fidedigna y sin error. Que proporciona elementos y/o datos que permiten la identificación de su origen, fecha de generación, de emisión y difusión;</w:t>
      </w:r>
    </w:p>
    <w:p w:rsidR="00D42939" w:rsidRPr="007C1555" w:rsidRDefault="00D42939" w:rsidP="00D42939">
      <w:pPr>
        <w:spacing w:line="240" w:lineRule="auto"/>
        <w:ind w:left="709" w:firstLine="567"/>
        <w:rPr>
          <w:rFonts w:ascii="Arial" w:hAnsi="Arial" w:cs="Arial"/>
          <w:i/>
          <w:color w:val="595959" w:themeColor="text1" w:themeTint="A6"/>
          <w:sz w:val="20"/>
          <w:szCs w:val="20"/>
        </w:rPr>
      </w:pPr>
      <w:r w:rsidRPr="007C1555">
        <w:rPr>
          <w:rFonts w:ascii="Arial" w:hAnsi="Arial" w:cs="Arial"/>
          <w:i/>
          <w:color w:val="595959" w:themeColor="text1" w:themeTint="A6"/>
          <w:sz w:val="20"/>
          <w:szCs w:val="20"/>
        </w:rPr>
        <w:t>(..)</w:t>
      </w:r>
    </w:p>
    <w:p w:rsidR="00D42939" w:rsidRPr="007C1555" w:rsidRDefault="00D42939" w:rsidP="00D42939">
      <w:pPr>
        <w:spacing w:after="240" w:line="240" w:lineRule="auto"/>
        <w:ind w:left="709" w:firstLine="567"/>
        <w:rPr>
          <w:rFonts w:ascii="Arial" w:hAnsi="Arial" w:cs="Arial"/>
          <w:i/>
          <w:color w:val="595959" w:themeColor="text1" w:themeTint="A6"/>
          <w:sz w:val="20"/>
          <w:szCs w:val="20"/>
        </w:rPr>
      </w:pPr>
      <w:r w:rsidRPr="007C1555">
        <w:rPr>
          <w:rFonts w:ascii="Arial" w:hAnsi="Arial" w:cs="Arial"/>
          <w:i/>
          <w:color w:val="595959" w:themeColor="text1" w:themeTint="A6"/>
          <w:sz w:val="20"/>
          <w:szCs w:val="20"/>
        </w:rPr>
        <w:t>IX. Verificabilidad: Que es posible comprobar la veracidad de la información, así como examinar el método por el cual el sujeto obligado la generó.</w:t>
      </w:r>
    </w:p>
    <w:p w:rsidR="00D42939" w:rsidRPr="00837EE4" w:rsidRDefault="00D42939" w:rsidP="00D42939">
      <w:pPr>
        <w:spacing w:before="240"/>
        <w:rPr>
          <w:rFonts w:ascii="Arial" w:hAnsi="Arial" w:cs="Arial"/>
          <w:color w:val="595959" w:themeColor="text1" w:themeTint="A6"/>
          <w:szCs w:val="26"/>
        </w:rPr>
      </w:pPr>
      <w:r w:rsidRPr="00837EE4">
        <w:rPr>
          <w:rFonts w:ascii="Arial" w:eastAsia="Arial Unicode MS" w:hAnsi="Arial" w:cs="Arial"/>
          <w:color w:val="595959" w:themeColor="text1" w:themeTint="A6"/>
        </w:rPr>
        <w:tab/>
        <w:t>La afirmación anterior, es así ya que en los oficios de respuesta sólo se precisan los datos numéricos que atienden la petición del particular</w:t>
      </w:r>
      <w:r w:rsidR="00072B19">
        <w:rPr>
          <w:rFonts w:ascii="Arial" w:eastAsia="Arial Unicode MS" w:hAnsi="Arial" w:cs="Arial"/>
          <w:color w:val="595959" w:themeColor="text1" w:themeTint="A6"/>
        </w:rPr>
        <w:t>,</w:t>
      </w:r>
      <w:r w:rsidRPr="00837EE4">
        <w:rPr>
          <w:rFonts w:ascii="Arial" w:eastAsia="Arial Unicode MS" w:hAnsi="Arial" w:cs="Arial"/>
          <w:color w:val="595959" w:themeColor="text1" w:themeTint="A6"/>
        </w:rPr>
        <w:t xml:space="preserve"> pero en ningún momento se especifica cómo se llegó a dicha determinación, es decir, como se verificaron los datos obtenidos y proporcionados al contestar la solicitud, pues debe existir constancia de que lo entregado concuerda con aquello que se encuentra dentro de los archivos del sujeto obligado.</w:t>
      </w:r>
    </w:p>
    <w:p w:rsidR="00D42939" w:rsidRPr="00837EE4" w:rsidRDefault="00D42939" w:rsidP="00D42939">
      <w:pPr>
        <w:spacing w:before="240"/>
        <w:rPr>
          <w:rFonts w:ascii="Arial" w:hAnsi="Arial" w:cs="Arial"/>
          <w:color w:val="595959" w:themeColor="text1" w:themeTint="A6"/>
        </w:rPr>
      </w:pPr>
      <w:r w:rsidRPr="00837EE4">
        <w:rPr>
          <w:rFonts w:ascii="Arial" w:hAnsi="Arial" w:cs="Arial"/>
          <w:color w:val="595959" w:themeColor="text1" w:themeTint="A6"/>
          <w:szCs w:val="26"/>
        </w:rPr>
        <w:tab/>
        <w:t>Por lo expuesto, esta Comisión, con fundamento en lo establecido por el artículo 175, fracción III, modifica la respuesta emitida por el sujeto obligado para efectos de que funde y motive la determinación que adoptó.</w:t>
      </w:r>
    </w:p>
    <w:p w:rsidR="00D42939" w:rsidRPr="00837EE4" w:rsidRDefault="00D42939" w:rsidP="00D42939">
      <w:pPr>
        <w:pStyle w:val="Prrafodelista"/>
        <w:shd w:val="clear" w:color="auto" w:fill="FFFFFF"/>
        <w:spacing w:before="240" w:after="240"/>
        <w:ind w:left="0"/>
        <w:rPr>
          <w:rFonts w:ascii="Arial" w:hAnsi="Arial" w:cs="Arial"/>
          <w:color w:val="595959" w:themeColor="text1" w:themeTint="A6"/>
          <w:szCs w:val="26"/>
          <w:lang w:eastAsia="es-MX"/>
        </w:rPr>
      </w:pPr>
      <w:r w:rsidRPr="00837EE4">
        <w:rPr>
          <w:rFonts w:ascii="Arial" w:hAnsi="Arial" w:cs="Arial"/>
          <w:color w:val="595959" w:themeColor="text1" w:themeTint="A6"/>
        </w:rPr>
        <w:tab/>
      </w:r>
      <w:r w:rsidRPr="00837EE4">
        <w:rPr>
          <w:rFonts w:ascii="Arial" w:eastAsia="Arial Unicode MS" w:hAnsi="Arial" w:cs="Arial"/>
          <w:color w:val="595959" w:themeColor="text1" w:themeTint="A6"/>
        </w:rPr>
        <w:t>Para efectos del cumplimiento de la presente resolución resulta pertinente tomar en cuenta las siguientes precisiones:</w:t>
      </w:r>
      <w:r w:rsidRPr="00837EE4">
        <w:rPr>
          <w:rFonts w:ascii="Arial" w:hAnsi="Arial" w:cs="Arial"/>
          <w:color w:val="595959" w:themeColor="text1" w:themeTint="A6"/>
          <w:szCs w:val="26"/>
          <w:lang w:eastAsia="es-MX"/>
        </w:rPr>
        <w:t> </w:t>
      </w:r>
    </w:p>
    <w:p w:rsidR="00D42939" w:rsidRPr="00837EE4" w:rsidRDefault="00D42939" w:rsidP="00D42939">
      <w:pPr>
        <w:spacing w:before="240"/>
        <w:rPr>
          <w:rFonts w:ascii="Arial" w:hAnsi="Arial" w:cs="Arial"/>
          <w:b/>
          <w:color w:val="595959" w:themeColor="text1" w:themeTint="A6"/>
        </w:rPr>
      </w:pPr>
      <w:r w:rsidRPr="00837EE4">
        <w:rPr>
          <w:rFonts w:ascii="Arial" w:hAnsi="Arial" w:cs="Arial"/>
          <w:color w:val="595959" w:themeColor="text1" w:themeTint="A6"/>
        </w:rPr>
        <w:tab/>
        <w:t xml:space="preserve">Con fundamento en los artículos 175, último párrafo y 183 de la Ley de Transparencia y Acceso a la Información Pública del Estado, se le concede al ente obligado el término de </w:t>
      </w:r>
      <w:r w:rsidRPr="00837EE4">
        <w:rPr>
          <w:rFonts w:ascii="Arial" w:hAnsi="Arial" w:cs="Arial"/>
          <w:b/>
          <w:color w:val="595959" w:themeColor="text1" w:themeTint="A6"/>
        </w:rPr>
        <w:t xml:space="preserve">10 diez días, </w:t>
      </w:r>
      <w:r w:rsidRPr="00837EE4">
        <w:rPr>
          <w:rFonts w:ascii="Arial" w:hAnsi="Arial" w:cs="Arial"/>
          <w:b/>
          <w:bCs/>
          <w:color w:val="595959" w:themeColor="text1" w:themeTint="A6"/>
          <w:szCs w:val="26"/>
          <w:lang w:val="es-MX" w:eastAsia="es-MX"/>
        </w:rPr>
        <w:t>contados a partir del día siguiente de su notificación,</w:t>
      </w:r>
      <w:r w:rsidRPr="00837EE4">
        <w:rPr>
          <w:rFonts w:ascii="Arial" w:hAnsi="Arial" w:cs="Arial"/>
          <w:b/>
          <w:color w:val="595959" w:themeColor="text1" w:themeTint="A6"/>
        </w:rPr>
        <w:t xml:space="preserve"> para que de cumplimiento a lo ordenado en la presente resolución.</w:t>
      </w:r>
    </w:p>
    <w:p w:rsidR="00D42939" w:rsidRPr="00837EE4" w:rsidRDefault="00D42939" w:rsidP="00D42939">
      <w:pPr>
        <w:spacing w:before="240"/>
        <w:rPr>
          <w:rFonts w:ascii="Arial" w:hAnsi="Arial" w:cs="Arial"/>
          <w:color w:val="595959" w:themeColor="text1" w:themeTint="A6"/>
        </w:rPr>
      </w:pPr>
      <w:r w:rsidRPr="00837EE4">
        <w:rPr>
          <w:rFonts w:ascii="Arial" w:hAnsi="Arial" w:cs="Arial"/>
          <w:color w:val="595959" w:themeColor="text1" w:themeTint="A6"/>
        </w:rPr>
        <w:tab/>
        <w:t>Se estima el plazo de 10 diez días, puesto que el ente obligado deberá entregar al particular lo requerido, por lo que en analogía al artículo 154 de la Ley de Transparencia y Acceso a la Información Pública es que se concede dicho término.</w:t>
      </w:r>
    </w:p>
    <w:p w:rsidR="00D42939" w:rsidRPr="00837EE4" w:rsidRDefault="00D42939" w:rsidP="00D42939">
      <w:pPr>
        <w:shd w:val="clear" w:color="auto" w:fill="FFFFFF"/>
        <w:spacing w:before="240"/>
        <w:ind w:firstLine="708"/>
        <w:rPr>
          <w:rFonts w:ascii="Arial" w:hAnsi="Arial" w:cs="Arial"/>
          <w:b/>
          <w:bCs/>
          <w:color w:val="595959" w:themeColor="text1" w:themeTint="A6"/>
          <w:szCs w:val="26"/>
          <w:lang w:val="es-MX" w:eastAsia="es-MX"/>
        </w:rPr>
      </w:pPr>
      <w:r w:rsidRPr="00837EE4">
        <w:rPr>
          <w:rFonts w:ascii="Arial" w:hAnsi="Arial" w:cs="Arial"/>
          <w:b/>
          <w:bCs/>
          <w:color w:val="595959" w:themeColor="text1" w:themeTint="A6"/>
          <w:szCs w:val="26"/>
          <w:lang w:val="es-MX" w:eastAsia="es-MX"/>
        </w:rPr>
        <w:t xml:space="preserve">Se hace del conocimiento del sujeto obligado que la presente resolución causa ejecutoría al momento de su aprobación, en virtud de que no admite recurso alguno, ya que no se actualiza ninguna de las hipótesis previstas en el artículo 160 de la Ley General de Transparencia y Acceso a la Información Pública; por lo que el término para dar cumplimiento, comenzará a partir de su notificación. </w:t>
      </w:r>
    </w:p>
    <w:p w:rsidR="00D42939" w:rsidRPr="00837EE4" w:rsidRDefault="00D42939" w:rsidP="00D42939">
      <w:pPr>
        <w:shd w:val="clear" w:color="auto" w:fill="FFFFFF"/>
        <w:spacing w:before="240"/>
        <w:ind w:firstLine="708"/>
        <w:rPr>
          <w:rFonts w:ascii="Arial" w:hAnsi="Arial" w:cs="Arial"/>
          <w:b/>
          <w:bCs/>
          <w:color w:val="595959" w:themeColor="text1" w:themeTint="A6"/>
          <w:szCs w:val="26"/>
          <w:lang w:val="es-MX" w:eastAsia="es-MX"/>
        </w:rPr>
      </w:pPr>
      <w:r w:rsidRPr="00837EE4">
        <w:rPr>
          <w:rFonts w:ascii="Arial" w:hAnsi="Arial" w:cs="Arial"/>
          <w:b/>
          <w:bCs/>
          <w:color w:val="595959" w:themeColor="text1" w:themeTint="A6"/>
          <w:szCs w:val="26"/>
          <w:lang w:val="es-MX" w:eastAsia="es-MX"/>
        </w:rPr>
        <w:lastRenderedPageBreak/>
        <w:t xml:space="preserve">Una vez concluido dicho plazo, </w:t>
      </w:r>
      <w:r w:rsidRPr="00837EE4">
        <w:rPr>
          <w:rFonts w:ascii="Arial" w:hAnsi="Arial" w:cs="Arial"/>
          <w:color w:val="595959" w:themeColor="text1" w:themeTint="A6"/>
          <w:szCs w:val="26"/>
          <w:lang w:val="es-MX" w:eastAsia="es-MX"/>
        </w:rPr>
        <w:t>dentro de los 03 tres días hábiles siguientes, deberá</w:t>
      </w:r>
      <w:r w:rsidRPr="00837EE4">
        <w:rPr>
          <w:rFonts w:ascii="Arial" w:hAnsi="Arial" w:cs="Arial"/>
          <w:b/>
          <w:bCs/>
          <w:color w:val="595959" w:themeColor="text1" w:themeTint="A6"/>
          <w:szCs w:val="26"/>
          <w:lang w:val="es-MX" w:eastAsia="es-MX"/>
        </w:rPr>
        <w:t xml:space="preserve"> </w:t>
      </w:r>
      <w:r w:rsidRPr="00837EE4">
        <w:rPr>
          <w:rFonts w:ascii="Arial" w:hAnsi="Arial" w:cs="Arial"/>
          <w:color w:val="595959" w:themeColor="text1" w:themeTint="A6"/>
          <w:szCs w:val="26"/>
          <w:lang w:val="es-MX" w:eastAsia="es-MX"/>
        </w:rPr>
        <w:t>informar el cumplimiento al presente fallo con los documentos fehacientes</w:t>
      </w:r>
      <w:r w:rsidRPr="00837EE4">
        <w:rPr>
          <w:rFonts w:ascii="Arial" w:hAnsi="Arial" w:cs="Arial"/>
          <w:color w:val="595959" w:themeColor="text1" w:themeTint="A6"/>
          <w:lang w:val="es-MX" w:eastAsia="es-MX"/>
        </w:rPr>
        <w:t> </w:t>
      </w:r>
      <w:r w:rsidRPr="00837EE4">
        <w:rPr>
          <w:rFonts w:ascii="Arial" w:hAnsi="Arial" w:cs="Arial"/>
          <w:b/>
          <w:bCs/>
          <w:color w:val="595959" w:themeColor="text1" w:themeTint="A6"/>
          <w:szCs w:val="26"/>
          <w:lang w:val="es-MX" w:eastAsia="es-MX"/>
        </w:rPr>
        <w:t>(</w:t>
      </w:r>
      <w:r w:rsidRPr="00837EE4">
        <w:rPr>
          <w:rFonts w:ascii="Arial" w:hAnsi="Arial" w:cs="Arial"/>
          <w:b/>
          <w:bCs/>
          <w:color w:val="595959" w:themeColor="text1" w:themeTint="A6"/>
          <w:sz w:val="28"/>
          <w:szCs w:val="26"/>
          <w:u w:val="single"/>
          <w:lang w:val="es-MX" w:eastAsia="es-MX"/>
        </w:rPr>
        <w:t>originales o copia certificada de documentos y bandeja de salida del correo electrónico</w:t>
      </w:r>
      <w:r w:rsidRPr="00837EE4">
        <w:rPr>
          <w:rFonts w:ascii="Arial" w:hAnsi="Arial" w:cs="Arial"/>
          <w:b/>
          <w:bCs/>
          <w:color w:val="595959" w:themeColor="text1" w:themeTint="A6"/>
          <w:szCs w:val="26"/>
          <w:lang w:val="es-MX" w:eastAsia="es-MX"/>
        </w:rPr>
        <w:t>),</w:t>
      </w:r>
      <w:r w:rsidRPr="00837EE4">
        <w:rPr>
          <w:rFonts w:ascii="Arial" w:hAnsi="Arial" w:cs="Arial"/>
          <w:color w:val="595959" w:themeColor="text1" w:themeTint="A6"/>
          <w:lang w:val="es-MX" w:eastAsia="es-MX"/>
        </w:rPr>
        <w:t> </w:t>
      </w:r>
      <w:r w:rsidRPr="00837EE4">
        <w:rPr>
          <w:rFonts w:ascii="Arial" w:hAnsi="Arial" w:cs="Arial"/>
          <w:color w:val="595959" w:themeColor="text1" w:themeTint="A6"/>
          <w:szCs w:val="26"/>
          <w:lang w:val="es-MX" w:eastAsia="es-MX"/>
        </w:rPr>
        <w:t>con fundamento en los artículos 177 184 de la Ley de Transparencia y Acceso a la Información Pública</w:t>
      </w:r>
      <w:r w:rsidRPr="00837EE4">
        <w:rPr>
          <w:rFonts w:ascii="Arial" w:hAnsi="Arial" w:cs="Arial"/>
          <w:color w:val="595959" w:themeColor="text1" w:themeTint="A6"/>
          <w:lang w:val="es-MX" w:eastAsia="es-MX"/>
        </w:rPr>
        <w:t> </w:t>
      </w:r>
      <w:r w:rsidRPr="00837EE4">
        <w:rPr>
          <w:rFonts w:ascii="Arial" w:hAnsi="Arial" w:cs="Arial"/>
          <w:b/>
          <w:bCs/>
          <w:color w:val="595959" w:themeColor="text1" w:themeTint="A6"/>
          <w:szCs w:val="26"/>
          <w:lang w:val="es-MX" w:eastAsia="es-MX"/>
        </w:rPr>
        <w:t>y en caso de no cumplir con esta resolución se dará vista con la denuncia correspondiente al Órgano de Control Interno o a quien resulte competente para integrar y sustanciar el procedimiento sancionatorio por incurrir en posibles actos que actualicen la hipótesis contenida en el artículo 197, fracción XV, de la Ley de Transparencia y Acceso a la información Pública del Estado. Lo anterior, sin perjuicio de que esta Comisión realicé lo necesario para que se dé el debido cumplimiento a la presente resolución.</w:t>
      </w:r>
    </w:p>
    <w:p w:rsidR="00D42939" w:rsidRPr="00837EE4" w:rsidRDefault="00D42939" w:rsidP="00D42939">
      <w:pPr>
        <w:spacing w:before="240"/>
        <w:rPr>
          <w:rFonts w:ascii="Arial" w:hAnsi="Arial" w:cs="Arial"/>
          <w:color w:val="595959" w:themeColor="text1" w:themeTint="A6"/>
          <w:szCs w:val="26"/>
          <w:u w:val="single"/>
          <w:lang w:val="es-MX" w:eastAsia="es-MX"/>
        </w:rPr>
      </w:pPr>
      <w:r w:rsidRPr="00837EE4">
        <w:rPr>
          <w:rFonts w:ascii="Arial" w:hAnsi="Arial" w:cs="Arial"/>
          <w:bCs/>
          <w:color w:val="595959" w:themeColor="text1" w:themeTint="A6"/>
          <w:szCs w:val="26"/>
          <w:lang w:val="es-MX" w:eastAsia="es-MX"/>
        </w:rPr>
        <w:tab/>
      </w:r>
      <w:r w:rsidRPr="00837EE4">
        <w:rPr>
          <w:rFonts w:ascii="Arial" w:hAnsi="Arial" w:cs="Arial"/>
          <w:bCs/>
          <w:color w:val="595959" w:themeColor="text1" w:themeTint="A6"/>
          <w:szCs w:val="26"/>
          <w:u w:val="single"/>
          <w:lang w:val="es-MX" w:eastAsia="es-MX"/>
        </w:rPr>
        <w:t>De conformidad con el artículo 183 de la Ley de Transparencia y Acceso a la Información Pública del Estado, el sujeto obligado a través del Titular de la Unidad de Transparencia debe dar cumplimiento a la presente resolución; por lo tanto, se le apercibe legalmente que en caso de no hacerlo, se le impondrán, de conformidad con el artículo 190 de la citada Ley, las medidas de apremio que resulten pertinentes. Para el caso de que el incumplimiento se origine con motivo de las deficiencias en que incurra un área administrativa ante la cual gestione, deberá informarlo a esta Comisión y a su superior jerárquico para que se tomen las acciones necesarias para asegurar el respeto a la presente determinación.</w:t>
      </w:r>
    </w:p>
    <w:p w:rsidR="00D42939" w:rsidRPr="00837EE4" w:rsidRDefault="00D42939" w:rsidP="00D42939">
      <w:pPr>
        <w:spacing w:before="240" w:after="240"/>
        <w:rPr>
          <w:rFonts w:ascii="Arial" w:hAnsi="Arial" w:cs="Arial"/>
          <w:color w:val="595959" w:themeColor="text1" w:themeTint="A6"/>
          <w:szCs w:val="26"/>
          <w:lang w:val="es-MX" w:eastAsia="es-MX"/>
        </w:rPr>
      </w:pPr>
      <w:r w:rsidRPr="00837EE4">
        <w:rPr>
          <w:rFonts w:ascii="Arial" w:hAnsi="Arial" w:cs="Arial"/>
          <w:color w:val="595959" w:themeColor="text1" w:themeTint="A6"/>
          <w:szCs w:val="26"/>
          <w:lang w:val="es-MX" w:eastAsia="es-MX"/>
        </w:rPr>
        <w:t>Por lo anteriormente expuesto y fundado se:</w:t>
      </w:r>
    </w:p>
    <w:p w:rsidR="00D42939" w:rsidRPr="00837EE4" w:rsidRDefault="00D42939" w:rsidP="00D42939">
      <w:pPr>
        <w:shd w:val="clear" w:color="auto" w:fill="FFFFFF"/>
        <w:jc w:val="center"/>
        <w:outlineLvl w:val="0"/>
        <w:rPr>
          <w:rFonts w:ascii="Arial" w:hAnsi="Arial" w:cs="Arial"/>
          <w:b/>
          <w:bCs/>
          <w:color w:val="595959" w:themeColor="text1" w:themeTint="A6"/>
          <w:szCs w:val="26"/>
          <w:lang w:val="es-MX" w:eastAsia="es-MX"/>
        </w:rPr>
      </w:pPr>
      <w:r w:rsidRPr="00837EE4">
        <w:rPr>
          <w:rFonts w:ascii="Arial" w:hAnsi="Arial" w:cs="Arial"/>
          <w:b/>
          <w:bCs/>
          <w:color w:val="595959" w:themeColor="text1" w:themeTint="A6"/>
          <w:szCs w:val="26"/>
          <w:lang w:val="es-MX" w:eastAsia="es-MX"/>
        </w:rPr>
        <w:t>R E S U E L V E:</w:t>
      </w:r>
    </w:p>
    <w:p w:rsidR="00D42939" w:rsidRPr="00837EE4" w:rsidRDefault="00D42939" w:rsidP="00D42939">
      <w:pPr>
        <w:spacing w:before="240" w:after="240"/>
        <w:rPr>
          <w:rFonts w:ascii="Arial" w:hAnsi="Arial" w:cs="Arial"/>
          <w:color w:val="595959" w:themeColor="text1" w:themeTint="A6"/>
        </w:rPr>
      </w:pPr>
      <w:r w:rsidRPr="00837EE4">
        <w:rPr>
          <w:rFonts w:ascii="Arial" w:hAnsi="Arial" w:cs="Arial"/>
          <w:b/>
          <w:color w:val="595959" w:themeColor="text1" w:themeTint="A6"/>
        </w:rPr>
        <w:tab/>
        <w:t xml:space="preserve">ÚNICO. </w:t>
      </w:r>
      <w:r w:rsidRPr="00837EE4">
        <w:rPr>
          <w:rFonts w:ascii="Arial" w:hAnsi="Arial" w:cs="Arial"/>
          <w:color w:val="595959" w:themeColor="text1" w:themeTint="A6"/>
        </w:rPr>
        <w:t xml:space="preserve">Se </w:t>
      </w:r>
      <w:r w:rsidRPr="00837EE4">
        <w:rPr>
          <w:rFonts w:ascii="Arial" w:hAnsi="Arial" w:cs="Arial"/>
          <w:b/>
          <w:color w:val="595959" w:themeColor="text1" w:themeTint="A6"/>
        </w:rPr>
        <w:t>modifica</w:t>
      </w:r>
      <w:r w:rsidRPr="00837EE4">
        <w:rPr>
          <w:rFonts w:ascii="Arial" w:hAnsi="Arial" w:cs="Arial"/>
          <w:color w:val="595959" w:themeColor="text1" w:themeTint="A6"/>
        </w:rPr>
        <w:t xml:space="preserve"> la respuesta emitida por el sujeto obligado por las razones expuestas en el considerando tercero de la presente resolución.</w:t>
      </w:r>
    </w:p>
    <w:p w:rsidR="00D42939" w:rsidRPr="00837EE4" w:rsidRDefault="00D42939" w:rsidP="00D42939">
      <w:pPr>
        <w:spacing w:before="240" w:after="240"/>
        <w:rPr>
          <w:rFonts w:ascii="Arial" w:hAnsi="Arial" w:cs="Arial"/>
          <w:color w:val="595959" w:themeColor="text1" w:themeTint="A6"/>
        </w:rPr>
      </w:pPr>
      <w:r w:rsidRPr="00837EE4">
        <w:rPr>
          <w:rFonts w:ascii="Arial" w:hAnsi="Arial" w:cs="Arial"/>
          <w:color w:val="595959" w:themeColor="text1" w:themeTint="A6"/>
        </w:rPr>
        <w:tab/>
        <w:t>Notifíquese personalmente a las partes el contenido de la presente resolución, de conformidad con el artículo 177 de la Ley de Transparencia y Acceso a la Información Pública del Estado.</w:t>
      </w:r>
      <w:bookmarkStart w:id="0" w:name="_GoBack"/>
      <w:bookmarkEnd w:id="0"/>
    </w:p>
    <w:p w:rsidR="00D42939" w:rsidRPr="00837EE4" w:rsidRDefault="00D42939" w:rsidP="00D42939">
      <w:pPr>
        <w:spacing w:before="240" w:after="240"/>
        <w:rPr>
          <w:rFonts w:ascii="Arial" w:hAnsi="Arial" w:cs="Arial"/>
          <w:color w:val="595959" w:themeColor="text1" w:themeTint="A6"/>
        </w:rPr>
      </w:pPr>
      <w:r w:rsidRPr="00837EE4">
        <w:rPr>
          <w:rFonts w:ascii="Arial" w:hAnsi="Arial" w:cs="Arial"/>
          <w:color w:val="595959" w:themeColor="text1" w:themeTint="A6"/>
        </w:rPr>
        <w:lastRenderedPageBreak/>
        <w:tab/>
        <w:t>La notificación que se realice al sujeto obligado será, con fundamento en el artículo 58 de la Ley de Transparencia y Acceso a la Información Pública del Estado, a través de la Unidad de Transparencia.</w:t>
      </w:r>
    </w:p>
    <w:p w:rsidR="00D42939" w:rsidRPr="00837EE4" w:rsidRDefault="00D42939" w:rsidP="00D42939">
      <w:pPr>
        <w:spacing w:before="240" w:after="240"/>
        <w:rPr>
          <w:rFonts w:ascii="Arial" w:hAnsi="Arial" w:cs="Arial"/>
          <w:color w:val="595959" w:themeColor="text1" w:themeTint="A6"/>
        </w:rPr>
      </w:pPr>
      <w:r w:rsidRPr="00837EE4">
        <w:rPr>
          <w:rFonts w:ascii="Arial" w:hAnsi="Arial" w:cs="Arial"/>
          <w:color w:val="595959" w:themeColor="text1" w:themeTint="A6"/>
        </w:rPr>
        <w:tab/>
        <w:t>Se hace de conocimiento del recurrente que, en caso de no estar de acuerdo con los términos de la resolución dictada, podrá impugnar la presente resolución a través del Juicio de Amparo indirecto que promueva ante el Poder Judicial de la Federación. Lo anterior con fundamento en el artículo 159 de la Ley General de Transparencia y Acceso a la Información Pública.</w:t>
      </w:r>
    </w:p>
    <w:p w:rsidR="00D42939" w:rsidRPr="00837EE4" w:rsidRDefault="00D42939" w:rsidP="00D42939">
      <w:pPr>
        <w:spacing w:before="240" w:after="240"/>
        <w:rPr>
          <w:rFonts w:ascii="Arial" w:hAnsi="Arial" w:cs="Arial"/>
          <w:color w:val="595959" w:themeColor="text1" w:themeTint="A6"/>
        </w:rPr>
      </w:pPr>
      <w:r w:rsidRPr="00837EE4">
        <w:rPr>
          <w:rFonts w:ascii="Arial" w:hAnsi="Arial" w:cs="Arial"/>
          <w:color w:val="595959" w:themeColor="text1" w:themeTint="A6"/>
        </w:rPr>
        <w:tab/>
        <w:t xml:space="preserve">Así lo resuelve, por unanimidad de votos, el pleno de la Comisión Estatal de Garantía de Acceso a la Información Pública, conformado por los Comisionados  Alejando Lafuente Torres, Paulina Sánchez Pérez del Pozo y Claudia Elizabeth Ávalos Cedillo, en la sesión </w:t>
      </w:r>
      <w:r w:rsidR="007C1555">
        <w:rPr>
          <w:rFonts w:ascii="Arial" w:hAnsi="Arial" w:cs="Arial"/>
          <w:color w:val="595959" w:themeColor="text1" w:themeTint="A6"/>
        </w:rPr>
        <w:t>ordinaria</w:t>
      </w:r>
      <w:r w:rsidRPr="00837EE4">
        <w:rPr>
          <w:rFonts w:ascii="Arial" w:hAnsi="Arial" w:cs="Arial"/>
          <w:color w:val="595959" w:themeColor="text1" w:themeTint="A6"/>
        </w:rPr>
        <w:t xml:space="preserve"> del siete de noviembre de dos mil diecisiete, ante la Secretaria de Pleno Rosa María Motilla García.</w:t>
      </w: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19"/>
        <w:gridCol w:w="4678"/>
      </w:tblGrid>
      <w:tr w:rsidR="00D42939" w:rsidRPr="00837EE4" w:rsidTr="001577FB">
        <w:tc>
          <w:tcPr>
            <w:tcW w:w="4219" w:type="dxa"/>
          </w:tcPr>
          <w:p w:rsidR="00D42939" w:rsidRPr="00837EE4" w:rsidRDefault="00D42939" w:rsidP="001577FB">
            <w:pPr>
              <w:spacing w:after="240"/>
              <w:jc w:val="center"/>
              <w:rPr>
                <w:rFonts w:ascii="Arial" w:hAnsi="Arial" w:cs="Arial"/>
                <w:b/>
                <w:color w:val="595959" w:themeColor="text1" w:themeTint="A6"/>
                <w:sz w:val="24"/>
                <w:szCs w:val="26"/>
              </w:rPr>
            </w:pPr>
            <w:r w:rsidRPr="00837EE4">
              <w:rPr>
                <w:rFonts w:ascii="Arial" w:hAnsi="Arial" w:cs="Arial"/>
                <w:b/>
                <w:color w:val="595959" w:themeColor="text1" w:themeTint="A6"/>
                <w:sz w:val="24"/>
                <w:szCs w:val="26"/>
              </w:rPr>
              <w:t>COMISIONADO PRESIDENTE</w:t>
            </w:r>
          </w:p>
          <w:p w:rsidR="00D42939" w:rsidRPr="00837EE4" w:rsidRDefault="00D42939" w:rsidP="001577FB">
            <w:pPr>
              <w:spacing w:before="240" w:after="240"/>
              <w:jc w:val="center"/>
              <w:rPr>
                <w:rFonts w:ascii="Arial" w:hAnsi="Arial" w:cs="Arial"/>
                <w:b/>
                <w:color w:val="595959" w:themeColor="text1" w:themeTint="A6"/>
                <w:sz w:val="24"/>
                <w:szCs w:val="26"/>
              </w:rPr>
            </w:pPr>
          </w:p>
          <w:p w:rsidR="00D42939" w:rsidRPr="00837EE4" w:rsidRDefault="00D42939" w:rsidP="001577FB">
            <w:pPr>
              <w:spacing w:before="240" w:after="240"/>
              <w:jc w:val="center"/>
              <w:rPr>
                <w:rFonts w:ascii="Arial" w:hAnsi="Arial" w:cs="Arial"/>
                <w:color w:val="595959" w:themeColor="text1" w:themeTint="A6"/>
              </w:rPr>
            </w:pPr>
            <w:r w:rsidRPr="00837EE4">
              <w:rPr>
                <w:rFonts w:ascii="Arial" w:hAnsi="Arial" w:cs="Arial"/>
                <w:b/>
                <w:color w:val="595959" w:themeColor="text1" w:themeTint="A6"/>
                <w:sz w:val="24"/>
                <w:szCs w:val="26"/>
              </w:rPr>
              <w:t>ALEJANDRO LAFUENTE TORRES</w:t>
            </w:r>
          </w:p>
        </w:tc>
        <w:tc>
          <w:tcPr>
            <w:tcW w:w="4678" w:type="dxa"/>
          </w:tcPr>
          <w:p w:rsidR="00D42939" w:rsidRPr="00837EE4" w:rsidRDefault="00D42939" w:rsidP="001577FB">
            <w:pPr>
              <w:spacing w:after="240"/>
              <w:ind w:left="48"/>
              <w:jc w:val="center"/>
              <w:rPr>
                <w:rFonts w:ascii="Arial" w:hAnsi="Arial" w:cs="Arial"/>
                <w:b/>
                <w:color w:val="595959" w:themeColor="text1" w:themeTint="A6"/>
                <w:sz w:val="24"/>
                <w:szCs w:val="26"/>
              </w:rPr>
            </w:pPr>
            <w:r w:rsidRPr="00837EE4">
              <w:rPr>
                <w:rFonts w:ascii="Arial" w:hAnsi="Arial" w:cs="Arial"/>
                <w:b/>
                <w:color w:val="595959" w:themeColor="text1" w:themeTint="A6"/>
                <w:sz w:val="24"/>
                <w:szCs w:val="26"/>
              </w:rPr>
              <w:t>COMISIONADA</w:t>
            </w:r>
          </w:p>
          <w:p w:rsidR="00D42939" w:rsidRPr="00837EE4" w:rsidRDefault="00D42939" w:rsidP="001577FB">
            <w:pPr>
              <w:spacing w:before="240" w:after="240"/>
              <w:jc w:val="center"/>
              <w:rPr>
                <w:rFonts w:ascii="Arial" w:hAnsi="Arial" w:cs="Arial"/>
                <w:b/>
                <w:color w:val="595959" w:themeColor="text1" w:themeTint="A6"/>
                <w:sz w:val="24"/>
                <w:szCs w:val="26"/>
              </w:rPr>
            </w:pPr>
          </w:p>
          <w:p w:rsidR="00D42939" w:rsidRPr="00837EE4" w:rsidRDefault="00D42939" w:rsidP="001577FB">
            <w:pPr>
              <w:spacing w:before="240" w:after="240"/>
              <w:jc w:val="center"/>
              <w:rPr>
                <w:rFonts w:ascii="Arial" w:hAnsi="Arial" w:cs="Arial"/>
                <w:b/>
                <w:color w:val="595959" w:themeColor="text1" w:themeTint="A6"/>
                <w:sz w:val="24"/>
                <w:szCs w:val="26"/>
              </w:rPr>
            </w:pPr>
            <w:r w:rsidRPr="00837EE4">
              <w:rPr>
                <w:rFonts w:ascii="Arial" w:hAnsi="Arial" w:cs="Arial"/>
                <w:b/>
                <w:color w:val="595959" w:themeColor="text1" w:themeTint="A6"/>
                <w:sz w:val="24"/>
                <w:szCs w:val="26"/>
              </w:rPr>
              <w:t>PAULINA SÁNCHEZ PÉREZ DEL POZO</w:t>
            </w:r>
          </w:p>
          <w:p w:rsidR="00D42939" w:rsidRPr="00837EE4" w:rsidRDefault="00D42939" w:rsidP="001577FB">
            <w:pPr>
              <w:spacing w:before="240" w:after="240"/>
              <w:jc w:val="center"/>
              <w:rPr>
                <w:rFonts w:ascii="Arial" w:hAnsi="Arial" w:cs="Arial"/>
                <w:color w:val="595959" w:themeColor="text1" w:themeTint="A6"/>
              </w:rPr>
            </w:pPr>
          </w:p>
        </w:tc>
      </w:tr>
      <w:tr w:rsidR="00D42939" w:rsidRPr="00837EE4" w:rsidTr="001577FB">
        <w:trPr>
          <w:trHeight w:val="2075"/>
        </w:trPr>
        <w:tc>
          <w:tcPr>
            <w:tcW w:w="4219" w:type="dxa"/>
          </w:tcPr>
          <w:p w:rsidR="00D42939" w:rsidRPr="00837EE4" w:rsidRDefault="00D42939" w:rsidP="001577FB">
            <w:pPr>
              <w:spacing w:after="240" w:line="276" w:lineRule="auto"/>
              <w:jc w:val="center"/>
              <w:rPr>
                <w:rFonts w:ascii="Arial" w:hAnsi="Arial" w:cs="Arial"/>
                <w:b/>
                <w:color w:val="595959" w:themeColor="text1" w:themeTint="A6"/>
                <w:sz w:val="24"/>
                <w:szCs w:val="26"/>
              </w:rPr>
            </w:pPr>
            <w:r w:rsidRPr="00837EE4">
              <w:rPr>
                <w:rFonts w:ascii="Arial" w:hAnsi="Arial" w:cs="Arial"/>
                <w:b/>
                <w:color w:val="595959" w:themeColor="text1" w:themeTint="A6"/>
                <w:sz w:val="24"/>
                <w:szCs w:val="26"/>
              </w:rPr>
              <w:t>COMISIONADA</w:t>
            </w:r>
          </w:p>
          <w:p w:rsidR="00D42939" w:rsidRPr="00837EE4" w:rsidRDefault="00D42939" w:rsidP="001577FB">
            <w:pPr>
              <w:spacing w:line="276" w:lineRule="auto"/>
              <w:rPr>
                <w:rFonts w:ascii="Arial" w:hAnsi="Arial" w:cs="Arial"/>
                <w:b/>
                <w:color w:val="595959" w:themeColor="text1" w:themeTint="A6"/>
                <w:sz w:val="24"/>
                <w:szCs w:val="26"/>
              </w:rPr>
            </w:pPr>
          </w:p>
          <w:p w:rsidR="00D42939" w:rsidRPr="00837EE4" w:rsidRDefault="00D42939" w:rsidP="001577FB">
            <w:pPr>
              <w:rPr>
                <w:rFonts w:ascii="Arial" w:hAnsi="Arial" w:cs="Arial"/>
                <w:b/>
                <w:color w:val="595959" w:themeColor="text1" w:themeTint="A6"/>
                <w:sz w:val="24"/>
                <w:szCs w:val="26"/>
              </w:rPr>
            </w:pPr>
          </w:p>
          <w:p w:rsidR="00D42939" w:rsidRPr="00837EE4" w:rsidRDefault="00D42939" w:rsidP="001577FB">
            <w:pPr>
              <w:spacing w:before="240" w:after="240" w:line="276" w:lineRule="auto"/>
              <w:jc w:val="center"/>
              <w:rPr>
                <w:rFonts w:ascii="Arial" w:hAnsi="Arial" w:cs="Arial"/>
                <w:color w:val="595959" w:themeColor="text1" w:themeTint="A6"/>
              </w:rPr>
            </w:pPr>
            <w:r w:rsidRPr="00837EE4">
              <w:rPr>
                <w:rFonts w:ascii="Arial" w:hAnsi="Arial" w:cs="Arial"/>
                <w:b/>
                <w:color w:val="595959" w:themeColor="text1" w:themeTint="A6"/>
                <w:sz w:val="24"/>
                <w:szCs w:val="26"/>
              </w:rPr>
              <w:t>CLAUDIA ELIZABETH ÁVALOS CEDILLO</w:t>
            </w:r>
          </w:p>
        </w:tc>
        <w:tc>
          <w:tcPr>
            <w:tcW w:w="4678" w:type="dxa"/>
          </w:tcPr>
          <w:p w:rsidR="00D42939" w:rsidRPr="00837EE4" w:rsidRDefault="00D42939" w:rsidP="001577FB">
            <w:pPr>
              <w:ind w:left="48" w:firstLine="2"/>
              <w:jc w:val="center"/>
              <w:rPr>
                <w:rFonts w:ascii="Arial" w:hAnsi="Arial" w:cs="Arial"/>
                <w:b/>
                <w:color w:val="595959" w:themeColor="text1" w:themeTint="A6"/>
                <w:sz w:val="24"/>
                <w:szCs w:val="26"/>
              </w:rPr>
            </w:pPr>
            <w:r w:rsidRPr="00837EE4">
              <w:rPr>
                <w:rFonts w:ascii="Arial" w:hAnsi="Arial" w:cs="Arial"/>
                <w:b/>
                <w:color w:val="595959" w:themeColor="text1" w:themeTint="A6"/>
                <w:sz w:val="24"/>
                <w:szCs w:val="26"/>
              </w:rPr>
              <w:t>SECRETARIA DE PLENO</w:t>
            </w:r>
          </w:p>
          <w:p w:rsidR="00D42939" w:rsidRPr="00837EE4" w:rsidRDefault="00D42939" w:rsidP="001577FB">
            <w:pPr>
              <w:ind w:left="48"/>
              <w:jc w:val="center"/>
              <w:rPr>
                <w:rFonts w:ascii="Arial" w:hAnsi="Arial" w:cs="Arial"/>
                <w:b/>
                <w:color w:val="595959" w:themeColor="text1" w:themeTint="A6"/>
                <w:sz w:val="24"/>
                <w:szCs w:val="26"/>
              </w:rPr>
            </w:pPr>
          </w:p>
          <w:p w:rsidR="00D42939" w:rsidRPr="00837EE4" w:rsidRDefault="00D42939" w:rsidP="001577FB">
            <w:pPr>
              <w:spacing w:before="240"/>
              <w:rPr>
                <w:rFonts w:ascii="Arial" w:hAnsi="Arial" w:cs="Arial"/>
                <w:b/>
                <w:color w:val="595959" w:themeColor="text1" w:themeTint="A6"/>
                <w:sz w:val="24"/>
                <w:szCs w:val="26"/>
              </w:rPr>
            </w:pPr>
          </w:p>
          <w:p w:rsidR="00D42939" w:rsidRPr="00837EE4" w:rsidRDefault="00D42939" w:rsidP="001577FB">
            <w:pPr>
              <w:ind w:left="48"/>
              <w:jc w:val="center"/>
              <w:rPr>
                <w:rFonts w:ascii="Arial" w:hAnsi="Arial" w:cs="Arial"/>
                <w:b/>
                <w:color w:val="595959" w:themeColor="text1" w:themeTint="A6"/>
                <w:sz w:val="24"/>
                <w:szCs w:val="26"/>
              </w:rPr>
            </w:pPr>
            <w:r w:rsidRPr="00837EE4">
              <w:rPr>
                <w:rFonts w:ascii="Arial" w:hAnsi="Arial" w:cs="Arial"/>
                <w:b/>
                <w:color w:val="595959" w:themeColor="text1" w:themeTint="A6"/>
                <w:sz w:val="24"/>
                <w:szCs w:val="26"/>
              </w:rPr>
              <w:t>ROSA MARÍA MOTILLA GARCÍA</w:t>
            </w:r>
          </w:p>
        </w:tc>
      </w:tr>
    </w:tbl>
    <w:tbl>
      <w:tblPr>
        <w:tblW w:w="10613" w:type="dxa"/>
        <w:jc w:val="center"/>
        <w:tblLook w:val="01E0"/>
      </w:tblPr>
      <w:tblGrid>
        <w:gridCol w:w="4880"/>
        <w:gridCol w:w="358"/>
        <w:gridCol w:w="5375"/>
      </w:tblGrid>
      <w:tr w:rsidR="00D42939" w:rsidRPr="00837EE4" w:rsidTr="007C1555">
        <w:trPr>
          <w:trHeight w:val="80"/>
          <w:jc w:val="center"/>
        </w:trPr>
        <w:tc>
          <w:tcPr>
            <w:tcW w:w="4880" w:type="dxa"/>
          </w:tcPr>
          <w:p w:rsidR="00D42939" w:rsidRPr="00837EE4" w:rsidRDefault="00D42939" w:rsidP="001577FB">
            <w:pPr>
              <w:ind w:left="97"/>
              <w:jc w:val="center"/>
              <w:rPr>
                <w:rFonts w:ascii="Arial" w:hAnsi="Arial" w:cs="Arial"/>
                <w:b/>
                <w:color w:val="595959" w:themeColor="text1" w:themeTint="A6"/>
                <w:szCs w:val="26"/>
              </w:rPr>
            </w:pPr>
          </w:p>
        </w:tc>
        <w:tc>
          <w:tcPr>
            <w:tcW w:w="358" w:type="dxa"/>
          </w:tcPr>
          <w:p w:rsidR="00D42939" w:rsidRPr="00837EE4" w:rsidRDefault="00D42939" w:rsidP="001577FB">
            <w:pPr>
              <w:ind w:left="360" w:firstLine="708"/>
              <w:jc w:val="center"/>
              <w:rPr>
                <w:rFonts w:ascii="Arial" w:hAnsi="Arial" w:cs="Arial"/>
                <w:b/>
                <w:color w:val="595959" w:themeColor="text1" w:themeTint="A6"/>
                <w:szCs w:val="26"/>
              </w:rPr>
            </w:pPr>
          </w:p>
        </w:tc>
        <w:tc>
          <w:tcPr>
            <w:tcW w:w="5375" w:type="dxa"/>
          </w:tcPr>
          <w:p w:rsidR="00D42939" w:rsidRPr="00837EE4" w:rsidRDefault="00D42939" w:rsidP="001577FB">
            <w:pPr>
              <w:jc w:val="center"/>
              <w:rPr>
                <w:rFonts w:ascii="Arial" w:hAnsi="Arial" w:cs="Arial"/>
                <w:b/>
                <w:color w:val="595959" w:themeColor="text1" w:themeTint="A6"/>
                <w:szCs w:val="26"/>
              </w:rPr>
            </w:pPr>
          </w:p>
        </w:tc>
      </w:tr>
    </w:tbl>
    <w:p w:rsidR="00D42939" w:rsidRPr="00837EE4" w:rsidRDefault="00D42939" w:rsidP="00D42939">
      <w:pPr>
        <w:spacing w:after="240" w:line="240" w:lineRule="auto"/>
        <w:rPr>
          <w:rFonts w:ascii="Arial" w:hAnsi="Arial" w:cs="Arial"/>
          <w:color w:val="595959" w:themeColor="text1" w:themeTint="A6"/>
          <w:sz w:val="18"/>
        </w:rPr>
      </w:pPr>
      <w:r w:rsidRPr="00837EE4">
        <w:rPr>
          <w:rFonts w:ascii="Arial" w:hAnsi="Arial" w:cs="Arial"/>
          <w:color w:val="595959" w:themeColor="text1" w:themeTint="A6"/>
          <w:sz w:val="18"/>
        </w:rPr>
        <w:tab/>
        <w:t xml:space="preserve">Estas firmas pertenecen a la última foja de la resolución pronunciada </w:t>
      </w:r>
      <w:r w:rsidR="00A60C2F">
        <w:rPr>
          <w:rFonts w:ascii="Arial" w:hAnsi="Arial" w:cs="Arial"/>
          <w:color w:val="595959" w:themeColor="text1" w:themeTint="A6"/>
          <w:sz w:val="18"/>
        </w:rPr>
        <w:t>en el recurso de revisión  522</w:t>
      </w:r>
      <w:r w:rsidRPr="00837EE4">
        <w:rPr>
          <w:rFonts w:ascii="Arial" w:hAnsi="Arial" w:cs="Arial"/>
          <w:color w:val="595959" w:themeColor="text1" w:themeTint="A6"/>
          <w:sz w:val="18"/>
        </w:rPr>
        <w:t xml:space="preserve">/2017-3 aprobada en sesión </w:t>
      </w:r>
      <w:r w:rsidR="007C1555">
        <w:rPr>
          <w:rFonts w:ascii="Arial" w:hAnsi="Arial" w:cs="Arial"/>
          <w:color w:val="595959" w:themeColor="text1" w:themeTint="A6"/>
          <w:sz w:val="18"/>
        </w:rPr>
        <w:t>ordinaria</w:t>
      </w:r>
      <w:r w:rsidRPr="00837EE4">
        <w:rPr>
          <w:rFonts w:ascii="Arial" w:hAnsi="Arial" w:cs="Arial"/>
          <w:color w:val="595959" w:themeColor="text1" w:themeTint="A6"/>
          <w:sz w:val="18"/>
        </w:rPr>
        <w:t xml:space="preserve"> del siete de noviembre de dos mil diecisiete.</w:t>
      </w:r>
    </w:p>
    <w:p w:rsidR="00D42939" w:rsidRPr="00837EE4" w:rsidRDefault="00D42939" w:rsidP="00D42939">
      <w:pPr>
        <w:spacing w:after="240" w:line="240" w:lineRule="auto"/>
        <w:rPr>
          <w:rFonts w:ascii="Arial" w:hAnsi="Arial" w:cs="Arial"/>
          <w:color w:val="595959" w:themeColor="text1" w:themeTint="A6"/>
          <w:sz w:val="18"/>
        </w:rPr>
      </w:pPr>
      <w:r w:rsidRPr="00837EE4">
        <w:rPr>
          <w:rFonts w:ascii="Arial" w:hAnsi="Arial" w:cs="Arial"/>
          <w:color w:val="595959" w:themeColor="text1" w:themeTint="A6"/>
          <w:sz w:val="18"/>
        </w:rPr>
        <w:t xml:space="preserve">Elaboró y Cotejó: </w:t>
      </w:r>
    </w:p>
    <w:p w:rsidR="00D42939" w:rsidRPr="00837EE4" w:rsidRDefault="00D42939" w:rsidP="00D42939">
      <w:pPr>
        <w:spacing w:after="240" w:line="240" w:lineRule="auto"/>
        <w:rPr>
          <w:rFonts w:ascii="Arial" w:hAnsi="Arial" w:cs="Arial"/>
          <w:color w:val="595959" w:themeColor="text1" w:themeTint="A6"/>
        </w:rPr>
      </w:pPr>
      <w:r w:rsidRPr="00837EE4">
        <w:rPr>
          <w:rFonts w:ascii="Arial" w:hAnsi="Arial" w:cs="Arial"/>
          <w:color w:val="595959" w:themeColor="text1" w:themeTint="A6"/>
          <w:sz w:val="18"/>
        </w:rPr>
        <w:t>EAGL</w:t>
      </w:r>
      <w:r w:rsidRPr="00837EE4">
        <w:rPr>
          <w:rFonts w:ascii="Arial" w:hAnsi="Arial" w:cs="Arial"/>
          <w:color w:val="595959" w:themeColor="text1" w:themeTint="A6"/>
        </w:rPr>
        <w:tab/>
      </w:r>
    </w:p>
    <w:p w:rsidR="003709F8" w:rsidRDefault="003709F8"/>
    <w:sectPr w:rsidR="003709F8" w:rsidSect="007C1555">
      <w:headerReference w:type="even" r:id="rId7"/>
      <w:headerReference w:type="default" r:id="rId8"/>
      <w:footerReference w:type="even" r:id="rId9"/>
      <w:footerReference w:type="default" r:id="rId10"/>
      <w:headerReference w:type="first" r:id="rId11"/>
      <w:footerReference w:type="first" r:id="rId12"/>
      <w:pgSz w:w="12240" w:h="20160" w:code="5"/>
      <w:pgMar w:top="2665" w:right="851" w:bottom="1871" w:left="283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230F" w:rsidRDefault="0086230F" w:rsidP="00D42939">
      <w:pPr>
        <w:spacing w:line="240" w:lineRule="auto"/>
      </w:pPr>
      <w:r>
        <w:separator/>
      </w:r>
    </w:p>
  </w:endnote>
  <w:endnote w:type="continuationSeparator" w:id="0">
    <w:p w:rsidR="0086230F" w:rsidRDefault="0086230F" w:rsidP="00D4293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B19" w:rsidRDefault="00072B19">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B19" w:rsidRDefault="00072B19">
    <w:pPr>
      <w:pStyle w:val="Piedep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B19" w:rsidRDefault="00072B19">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230F" w:rsidRDefault="0086230F" w:rsidP="00D42939">
      <w:pPr>
        <w:spacing w:line="240" w:lineRule="auto"/>
      </w:pPr>
      <w:r>
        <w:separator/>
      </w:r>
    </w:p>
  </w:footnote>
  <w:footnote w:type="continuationSeparator" w:id="0">
    <w:p w:rsidR="0086230F" w:rsidRDefault="0086230F" w:rsidP="00D4293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881"/>
      <w:docPartObj>
        <w:docPartGallery w:val="Page Numbers (Top of Page)"/>
        <w:docPartUnique/>
      </w:docPartObj>
    </w:sdtPr>
    <w:sdtContent>
      <w:p w:rsidR="008452A0" w:rsidRDefault="008B6B75">
        <w:pPr>
          <w:pStyle w:val="Encabezado"/>
          <w:jc w:val="center"/>
        </w:pPr>
        <w:r>
          <w:fldChar w:fldCharType="begin"/>
        </w:r>
        <w:r w:rsidR="00EA01A7">
          <w:instrText xml:space="preserve"> PAGE   \* MERGEFORMAT </w:instrText>
        </w:r>
        <w:r>
          <w:fldChar w:fldCharType="separate"/>
        </w:r>
        <w:r w:rsidR="007C1555">
          <w:rPr>
            <w:noProof/>
          </w:rPr>
          <w:t>10</w:t>
        </w:r>
        <w:r>
          <w:fldChar w:fldCharType="end"/>
        </w:r>
      </w:p>
    </w:sdtContent>
  </w:sdt>
  <w:p w:rsidR="008452A0" w:rsidRDefault="00072B19">
    <w:pPr>
      <w:pStyle w:val="Encabezado"/>
    </w:pPr>
    <w:r>
      <w:t>CEGAIP-RR-522</w:t>
    </w:r>
    <w:r w:rsidR="00EA01A7">
      <w:t>/2</w:t>
    </w:r>
    <w:r>
      <w:t>017</w:t>
    </w:r>
    <w:r w:rsidR="00EA01A7">
      <w:t>-3</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903"/>
      <w:docPartObj>
        <w:docPartGallery w:val="Page Numbers (Top of Page)"/>
        <w:docPartUnique/>
      </w:docPartObj>
    </w:sdtPr>
    <w:sdtContent>
      <w:p w:rsidR="008452A0" w:rsidRDefault="008B6B75">
        <w:pPr>
          <w:pStyle w:val="Encabezado"/>
          <w:jc w:val="center"/>
        </w:pPr>
        <w:r>
          <w:fldChar w:fldCharType="begin"/>
        </w:r>
        <w:r w:rsidR="00EA01A7">
          <w:instrText xml:space="preserve"> PAGE   \* MERGEFORMAT </w:instrText>
        </w:r>
        <w:r>
          <w:fldChar w:fldCharType="separate"/>
        </w:r>
        <w:r w:rsidR="007C1555">
          <w:rPr>
            <w:noProof/>
          </w:rPr>
          <w:t>9</w:t>
        </w:r>
        <w:r>
          <w:fldChar w:fldCharType="end"/>
        </w:r>
      </w:p>
    </w:sdtContent>
  </w:sdt>
  <w:p w:rsidR="008452A0" w:rsidRPr="00EE69A4" w:rsidRDefault="00D42939">
    <w:pPr>
      <w:pStyle w:val="Encabezado"/>
      <w:rPr>
        <w:lang w:val="es-MX"/>
      </w:rPr>
    </w:pPr>
    <w:r>
      <w:rPr>
        <w:lang w:val="es-MX"/>
      </w:rPr>
      <w:t>CEGAIP-RR-522</w:t>
    </w:r>
    <w:r w:rsidR="00EA01A7">
      <w:rPr>
        <w:lang w:val="es-MX"/>
      </w:rPr>
      <w:t>/2017-3</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880"/>
      <w:docPartObj>
        <w:docPartGallery w:val="Page Numbers (Top of Page)"/>
        <w:docPartUnique/>
      </w:docPartObj>
    </w:sdtPr>
    <w:sdtContent>
      <w:p w:rsidR="008452A0" w:rsidRDefault="008B6B75">
        <w:pPr>
          <w:pStyle w:val="Encabezado"/>
          <w:jc w:val="center"/>
        </w:pPr>
        <w:r>
          <w:fldChar w:fldCharType="begin"/>
        </w:r>
        <w:r w:rsidR="00EA01A7">
          <w:instrText xml:space="preserve"> PAGE   \* MERGEFORMAT </w:instrText>
        </w:r>
        <w:r>
          <w:fldChar w:fldCharType="separate"/>
        </w:r>
        <w:r w:rsidR="007C1555">
          <w:rPr>
            <w:noProof/>
          </w:rPr>
          <w:t>1</w:t>
        </w:r>
        <w:r>
          <w:fldChar w:fldCharType="end"/>
        </w:r>
      </w:p>
    </w:sdtContent>
  </w:sdt>
  <w:p w:rsidR="008452A0" w:rsidRDefault="0086230F">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hyphenationZone w:val="425"/>
  <w:evenAndOddHeaders/>
  <w:drawingGridHorizontalSpacing w:val="130"/>
  <w:displayHorizontalDrawingGridEvery w:val="2"/>
  <w:displayVerticalDrawingGridEvery w:val="2"/>
  <w:characterSpacingControl w:val="doNotCompress"/>
  <w:footnotePr>
    <w:footnote w:id="-1"/>
    <w:footnote w:id="0"/>
  </w:footnotePr>
  <w:endnotePr>
    <w:endnote w:id="-1"/>
    <w:endnote w:id="0"/>
  </w:endnotePr>
  <w:compat/>
  <w:rsids>
    <w:rsidRoot w:val="00D42939"/>
    <w:rsid w:val="000177DD"/>
    <w:rsid w:val="0004309F"/>
    <w:rsid w:val="00072B19"/>
    <w:rsid w:val="00160832"/>
    <w:rsid w:val="001853D2"/>
    <w:rsid w:val="001B0E31"/>
    <w:rsid w:val="002C476E"/>
    <w:rsid w:val="0036724E"/>
    <w:rsid w:val="003709F8"/>
    <w:rsid w:val="005B2591"/>
    <w:rsid w:val="006D538B"/>
    <w:rsid w:val="00792D04"/>
    <w:rsid w:val="007C1555"/>
    <w:rsid w:val="007E10ED"/>
    <w:rsid w:val="007E751C"/>
    <w:rsid w:val="0086230F"/>
    <w:rsid w:val="008B6B75"/>
    <w:rsid w:val="00A12D2C"/>
    <w:rsid w:val="00A60C2F"/>
    <w:rsid w:val="00B722A5"/>
    <w:rsid w:val="00BD3B14"/>
    <w:rsid w:val="00D42939"/>
    <w:rsid w:val="00DC77AB"/>
    <w:rsid w:val="00E23E5A"/>
    <w:rsid w:val="00EA01A7"/>
    <w:rsid w:val="00ED06E7"/>
    <w:rsid w:val="00ED6686"/>
    <w:rsid w:val="00F31B0D"/>
    <w:rsid w:val="00F517E2"/>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CEGAIP"/>
    <w:rsid w:val="00D42939"/>
    <w:pPr>
      <w:spacing w:after="0" w:line="360" w:lineRule="auto"/>
      <w:jc w:val="both"/>
    </w:pPr>
    <w:rPr>
      <w:rFonts w:cs="Times New Roman"/>
      <w:sz w:val="26"/>
      <w:szCs w:val="24"/>
      <w:lang w:val="es-ES" w:eastAsia="es-ES"/>
    </w:rPr>
  </w:style>
  <w:style w:type="paragraph" w:styleId="Ttulo1">
    <w:name w:val="heading 1"/>
    <w:aliases w:val="cita"/>
    <w:basedOn w:val="Normal"/>
    <w:next w:val="Normal"/>
    <w:link w:val="Ttulo1Car"/>
    <w:autoRedefine/>
    <w:qFormat/>
    <w:rsid w:val="005B2591"/>
    <w:pPr>
      <w:keepNext/>
      <w:outlineLvl w:val="0"/>
    </w:pPr>
    <w:rPr>
      <w:rFonts w:cs="Arial"/>
      <w:bCs/>
      <w:i/>
      <w:kern w:val="32"/>
      <w:sz w:val="2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cita Car"/>
    <w:basedOn w:val="Fuentedeprrafopredeter"/>
    <w:link w:val="Ttulo1"/>
    <w:rsid w:val="005B2591"/>
    <w:rPr>
      <w:rFonts w:eastAsia="Times New Roman" w:cs="Arial"/>
      <w:bCs/>
      <w:i/>
      <w:kern w:val="32"/>
      <w:szCs w:val="32"/>
      <w:lang w:val="es-ES" w:eastAsia="es-ES"/>
    </w:rPr>
  </w:style>
  <w:style w:type="table" w:styleId="Tablaconcuadrcula">
    <w:name w:val="Table Grid"/>
    <w:basedOn w:val="Tablanormal"/>
    <w:uiPriority w:val="59"/>
    <w:rsid w:val="00D429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uiPriority w:val="99"/>
    <w:semiHidden/>
    <w:unhideWhenUsed/>
    <w:rsid w:val="00D42939"/>
    <w:pPr>
      <w:spacing w:after="120"/>
    </w:pPr>
  </w:style>
  <w:style w:type="character" w:customStyle="1" w:styleId="TextoindependienteCar">
    <w:name w:val="Texto independiente Car"/>
    <w:basedOn w:val="Fuentedeprrafopredeter"/>
    <w:link w:val="Textoindependiente"/>
    <w:uiPriority w:val="99"/>
    <w:semiHidden/>
    <w:rsid w:val="00D42939"/>
    <w:rPr>
      <w:rFonts w:cs="Times New Roman"/>
      <w:sz w:val="26"/>
      <w:szCs w:val="24"/>
      <w:lang w:val="es-ES" w:eastAsia="es-ES"/>
    </w:rPr>
  </w:style>
  <w:style w:type="paragraph" w:styleId="Textoindependienteprimerasangra">
    <w:name w:val="Body Text First Indent"/>
    <w:basedOn w:val="Textoindependiente"/>
    <w:link w:val="TextoindependienteprimerasangraCar"/>
    <w:rsid w:val="00D42939"/>
    <w:pPr>
      <w:ind w:firstLine="210"/>
    </w:pPr>
  </w:style>
  <w:style w:type="character" w:customStyle="1" w:styleId="TextoindependienteprimerasangraCar">
    <w:name w:val="Texto independiente primera sangría Car"/>
    <w:basedOn w:val="TextoindependienteCar"/>
    <w:link w:val="Textoindependienteprimerasangra"/>
    <w:rsid w:val="00D42939"/>
  </w:style>
  <w:style w:type="paragraph" w:styleId="Prrafodelista">
    <w:name w:val="List Paragraph"/>
    <w:basedOn w:val="Normal"/>
    <w:uiPriority w:val="34"/>
    <w:qFormat/>
    <w:rsid w:val="00D42939"/>
    <w:pPr>
      <w:ind w:left="720"/>
      <w:contextualSpacing/>
    </w:pPr>
  </w:style>
  <w:style w:type="character" w:customStyle="1" w:styleId="apple-converted-space">
    <w:name w:val="apple-converted-space"/>
    <w:basedOn w:val="Fuentedeprrafopredeter"/>
    <w:rsid w:val="00D42939"/>
  </w:style>
  <w:style w:type="paragraph" w:styleId="Encabezado">
    <w:name w:val="header"/>
    <w:basedOn w:val="Normal"/>
    <w:link w:val="EncabezadoCar"/>
    <w:uiPriority w:val="99"/>
    <w:unhideWhenUsed/>
    <w:rsid w:val="00D42939"/>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D42939"/>
    <w:rPr>
      <w:rFonts w:cs="Times New Roman"/>
      <w:sz w:val="26"/>
      <w:szCs w:val="24"/>
      <w:lang w:val="es-ES" w:eastAsia="es-ES"/>
    </w:rPr>
  </w:style>
  <w:style w:type="paragraph" w:styleId="Piedepgina">
    <w:name w:val="footer"/>
    <w:basedOn w:val="Normal"/>
    <w:link w:val="PiedepginaCar"/>
    <w:uiPriority w:val="99"/>
    <w:semiHidden/>
    <w:unhideWhenUsed/>
    <w:rsid w:val="00D42939"/>
    <w:pPr>
      <w:tabs>
        <w:tab w:val="center" w:pos="4419"/>
        <w:tab w:val="right" w:pos="8838"/>
      </w:tabs>
      <w:spacing w:line="240" w:lineRule="auto"/>
    </w:pPr>
  </w:style>
  <w:style w:type="character" w:customStyle="1" w:styleId="PiedepginaCar">
    <w:name w:val="Pie de página Car"/>
    <w:basedOn w:val="Fuentedeprrafopredeter"/>
    <w:link w:val="Piedepgina"/>
    <w:uiPriority w:val="99"/>
    <w:semiHidden/>
    <w:rsid w:val="00D42939"/>
    <w:rPr>
      <w:rFonts w:cs="Times New Roman"/>
      <w:sz w:val="26"/>
      <w:szCs w:val="24"/>
      <w:lang w:val="es-ES" w:eastAsia="es-ES"/>
    </w:rPr>
  </w:style>
  <w:style w:type="paragraph" w:styleId="Textodeglobo">
    <w:name w:val="Balloon Text"/>
    <w:basedOn w:val="Normal"/>
    <w:link w:val="TextodegloboCar"/>
    <w:uiPriority w:val="99"/>
    <w:semiHidden/>
    <w:unhideWhenUsed/>
    <w:rsid w:val="00D42939"/>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42939"/>
    <w:rPr>
      <w:rFonts w:ascii="Tahoma" w:hAnsi="Tahoma" w:cs="Tahoma"/>
      <w:sz w:val="16"/>
      <w:szCs w:val="16"/>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10</Pages>
  <Words>3182</Words>
  <Characters>17507</Characters>
  <Application>Microsoft Office Word</Application>
  <DocSecurity>0</DocSecurity>
  <Lines>145</Lines>
  <Paragraphs>41</Paragraphs>
  <ScaleCrop>false</ScaleCrop>
  <Company/>
  <LinksUpToDate>false</LinksUpToDate>
  <CharactersWithSpaces>20648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Servicio social</dc:creator>
  <cp:lastModifiedBy>Servicio social</cp:lastModifiedBy>
  <cp:revision>5</cp:revision>
  <cp:lastPrinted>2017-11-16T17:57:00Z</cp:lastPrinted>
  <dcterms:created xsi:type="dcterms:W3CDTF">2017-11-03T21:41:00Z</dcterms:created>
  <dcterms:modified xsi:type="dcterms:W3CDTF">2017-11-16T17:57:00Z</dcterms:modified>
</cp:coreProperties>
</file>